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50C" w:rsidRDefault="00700D5E">
      <w:pPr>
        <w:spacing w:beforeLines="50" w:before="156" w:afterLines="50" w:after="156" w:line="400" w:lineRule="exact"/>
        <w:rPr>
          <w:rFonts w:ascii="宋体" w:hAnsi="宋体"/>
          <w:bCs/>
          <w:iCs/>
          <w:sz w:val="24"/>
        </w:rPr>
      </w:pPr>
      <w:r>
        <w:rPr>
          <w:rFonts w:ascii="宋体" w:hAnsi="宋体" w:hint="eastAsia"/>
          <w:bCs/>
          <w:iCs/>
          <w:sz w:val="24"/>
        </w:rPr>
        <w:t xml:space="preserve">证券代码：002793                               </w:t>
      </w:r>
      <w:r>
        <w:rPr>
          <w:rFonts w:ascii="宋体" w:hAnsi="宋体"/>
          <w:bCs/>
          <w:iCs/>
          <w:sz w:val="24"/>
        </w:rPr>
        <w:t xml:space="preserve">   </w:t>
      </w:r>
      <w:r>
        <w:rPr>
          <w:rFonts w:ascii="宋体" w:hAnsi="宋体" w:hint="eastAsia"/>
          <w:bCs/>
          <w:iCs/>
          <w:sz w:val="24"/>
        </w:rPr>
        <w:t>证券简称：罗欣药业</w:t>
      </w:r>
    </w:p>
    <w:p w:rsidR="009F0A00" w:rsidRPr="00B042CB" w:rsidRDefault="00700D5E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sz w:val="32"/>
          <w:szCs w:val="32"/>
        </w:rPr>
      </w:pPr>
      <w:r w:rsidRPr="00B042CB">
        <w:rPr>
          <w:rFonts w:ascii="宋体" w:hAnsi="宋体" w:hint="eastAsia"/>
          <w:b/>
          <w:bCs/>
          <w:iCs/>
          <w:sz w:val="32"/>
          <w:szCs w:val="32"/>
        </w:rPr>
        <w:t>罗欣药业集团股份有限公司</w:t>
      </w:r>
    </w:p>
    <w:p w:rsidR="007A550C" w:rsidRPr="00B042CB" w:rsidRDefault="00700D5E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sz w:val="32"/>
          <w:szCs w:val="32"/>
        </w:rPr>
      </w:pPr>
      <w:r w:rsidRPr="00B042CB">
        <w:rPr>
          <w:rFonts w:ascii="宋体" w:hAnsi="宋体" w:hint="eastAsia"/>
          <w:b/>
          <w:bCs/>
          <w:iCs/>
          <w:sz w:val="32"/>
          <w:szCs w:val="32"/>
        </w:rPr>
        <w:t>投资者关系活动记录表</w:t>
      </w:r>
    </w:p>
    <w:p w:rsidR="007A550C" w:rsidRDefault="00700D5E">
      <w:pPr>
        <w:spacing w:line="400" w:lineRule="exact"/>
        <w:rPr>
          <w:rFonts w:ascii="宋体" w:hAnsi="宋体"/>
          <w:bCs/>
          <w:iCs/>
          <w:sz w:val="24"/>
          <w:szCs w:val="24"/>
        </w:rPr>
      </w:pPr>
      <w:r>
        <w:rPr>
          <w:rFonts w:ascii="宋体" w:hAnsi="宋体" w:hint="eastAsia"/>
          <w:bCs/>
          <w:iCs/>
          <w:sz w:val="24"/>
          <w:szCs w:val="24"/>
        </w:rPr>
        <w:t xml:space="preserve">                                                      编号：2020-00</w:t>
      </w:r>
      <w:r w:rsidR="00174EE4">
        <w:rPr>
          <w:rFonts w:ascii="宋体" w:hAnsi="宋体" w:hint="eastAsia"/>
          <w:bCs/>
          <w:iCs/>
          <w:sz w:val="24"/>
          <w:szCs w:val="24"/>
        </w:rPr>
        <w:t>5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6614"/>
      </w:tblGrid>
      <w:tr w:rsidR="007A550C">
        <w:tc>
          <w:tcPr>
            <w:tcW w:w="1908" w:type="dxa"/>
            <w:shd w:val="clear" w:color="auto" w:fill="auto"/>
          </w:tcPr>
          <w:p w:rsidR="007A550C" w:rsidRDefault="00700D5E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  <w:p w:rsidR="007A550C" w:rsidRDefault="007A550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auto"/>
          </w:tcPr>
          <w:p w:rsidR="007A550C" w:rsidRDefault="00E12DC3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/>
                <w:bCs/>
                <w:sz w:val="22"/>
              </w:rPr>
              <w:sym w:font="Wingdings 2" w:char="0052"/>
            </w:r>
            <w:r w:rsidR="00700D5E">
              <w:rPr>
                <w:rFonts w:ascii="宋体" w:hAnsi="宋体" w:hint="eastAsia"/>
                <w:sz w:val="24"/>
                <w:szCs w:val="24"/>
              </w:rPr>
              <w:t xml:space="preserve">特定对象调研        </w:t>
            </w:r>
            <w:r w:rsidR="00174EE4"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700D5E">
              <w:rPr>
                <w:rFonts w:ascii="宋体" w:hAnsi="宋体" w:hint="eastAsia"/>
                <w:sz w:val="24"/>
                <w:szCs w:val="24"/>
              </w:rPr>
              <w:t>分析师会议</w:t>
            </w:r>
          </w:p>
          <w:p w:rsidR="007A550C" w:rsidRDefault="00700D5E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媒体采访  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业绩说明会</w:t>
            </w:r>
          </w:p>
          <w:p w:rsidR="007A550C" w:rsidRDefault="00700D5E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新闻发布会          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路演活动</w:t>
            </w:r>
            <w:bookmarkStart w:id="0" w:name="_GoBack"/>
            <w:bookmarkEnd w:id="0"/>
          </w:p>
          <w:p w:rsidR="007A550C" w:rsidRDefault="00700D5E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现场参观</w:t>
            </w:r>
            <w:r>
              <w:rPr>
                <w:rFonts w:ascii="宋体" w:hAnsi="宋体"/>
                <w:bCs/>
                <w:iCs/>
                <w:sz w:val="24"/>
                <w:szCs w:val="24"/>
              </w:rPr>
              <w:tab/>
            </w:r>
          </w:p>
          <w:p w:rsidR="007A550C" w:rsidRDefault="00E12DC3" w:rsidP="00E12DC3">
            <w:pPr>
              <w:tabs>
                <w:tab w:val="center" w:pos="3199"/>
              </w:tabs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□</w:t>
            </w:r>
            <w:r w:rsidR="00700D5E">
              <w:rPr>
                <w:rFonts w:ascii="宋体" w:hAnsi="宋体"/>
                <w:bCs/>
                <w:sz w:val="22"/>
              </w:rPr>
              <w:t>其他</w:t>
            </w:r>
          </w:p>
        </w:tc>
      </w:tr>
      <w:tr w:rsidR="007A550C" w:rsidTr="00105148">
        <w:tc>
          <w:tcPr>
            <w:tcW w:w="1908" w:type="dxa"/>
            <w:shd w:val="clear" w:color="auto" w:fill="auto"/>
          </w:tcPr>
          <w:p w:rsidR="007A550C" w:rsidRDefault="00700D5E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7A550C" w:rsidRDefault="00174EE4" w:rsidP="00105148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光大</w:t>
            </w:r>
            <w:r w:rsidR="00700D5E">
              <w:rPr>
                <w:rFonts w:ascii="宋体" w:hAnsi="宋体" w:hint="eastAsia"/>
                <w:bCs/>
                <w:iCs/>
                <w:sz w:val="24"/>
                <w:szCs w:val="24"/>
              </w:rPr>
              <w:t>证券：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林小伟、吴佳青</w:t>
            </w:r>
          </w:p>
        </w:tc>
      </w:tr>
      <w:tr w:rsidR="007A550C">
        <w:tc>
          <w:tcPr>
            <w:tcW w:w="1908" w:type="dxa"/>
            <w:shd w:val="clear" w:color="auto" w:fill="auto"/>
          </w:tcPr>
          <w:p w:rsidR="007A550C" w:rsidRDefault="00700D5E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时间</w:t>
            </w:r>
          </w:p>
        </w:tc>
        <w:tc>
          <w:tcPr>
            <w:tcW w:w="6614" w:type="dxa"/>
            <w:shd w:val="clear" w:color="auto" w:fill="auto"/>
          </w:tcPr>
          <w:p w:rsidR="007A550C" w:rsidRDefault="00700D5E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/>
                <w:bCs/>
                <w:iCs/>
                <w:sz w:val="24"/>
                <w:szCs w:val="24"/>
              </w:rPr>
              <w:t>2020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年6月</w:t>
            </w:r>
            <w:r w:rsidR="00174EE4">
              <w:rPr>
                <w:rFonts w:ascii="宋体" w:hAnsi="宋体" w:hint="eastAsia"/>
                <w:bCs/>
                <w:iCs/>
                <w:sz w:val="24"/>
                <w:szCs w:val="24"/>
              </w:rPr>
              <w:t>17</w:t>
            </w: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日</w:t>
            </w:r>
          </w:p>
        </w:tc>
      </w:tr>
      <w:tr w:rsidR="00174EE4">
        <w:tc>
          <w:tcPr>
            <w:tcW w:w="1908" w:type="dxa"/>
            <w:shd w:val="clear" w:color="auto" w:fill="auto"/>
          </w:tcPr>
          <w:p w:rsidR="00174EE4" w:rsidRDefault="00174EE4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地点</w:t>
            </w:r>
          </w:p>
        </w:tc>
        <w:tc>
          <w:tcPr>
            <w:tcW w:w="6614" w:type="dxa"/>
            <w:shd w:val="clear" w:color="auto" w:fill="auto"/>
          </w:tcPr>
          <w:p w:rsidR="00174EE4" w:rsidRDefault="00105148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上海市浦东新区</w:t>
            </w:r>
            <w:proofErr w:type="gramStart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法拉第路85号</w:t>
            </w:r>
            <w:proofErr w:type="gramEnd"/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2号楼会议室</w:t>
            </w:r>
          </w:p>
        </w:tc>
      </w:tr>
      <w:tr w:rsidR="007A550C" w:rsidTr="00105148">
        <w:tc>
          <w:tcPr>
            <w:tcW w:w="1908" w:type="dxa"/>
            <w:shd w:val="clear" w:color="auto" w:fill="auto"/>
          </w:tcPr>
          <w:p w:rsidR="007A550C" w:rsidRDefault="00700D5E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7A550C" w:rsidRDefault="00700D5E" w:rsidP="00105148">
            <w:pPr>
              <w:tabs>
                <w:tab w:val="left" w:pos="567"/>
                <w:tab w:val="left" w:pos="1560"/>
              </w:tabs>
              <w:spacing w:line="276" w:lineRule="auto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董事会秘书</w:t>
            </w:r>
            <w:r>
              <w:rPr>
                <w:sz w:val="22"/>
                <w:szCs w:val="16"/>
              </w:rPr>
              <w:t>：</w:t>
            </w:r>
            <w:r>
              <w:rPr>
                <w:rFonts w:hint="eastAsia"/>
                <w:sz w:val="22"/>
                <w:szCs w:val="16"/>
              </w:rPr>
              <w:t>马家烈</w:t>
            </w:r>
          </w:p>
          <w:p w:rsidR="00E12DC3" w:rsidRDefault="00E12DC3" w:rsidP="00105148">
            <w:pPr>
              <w:tabs>
                <w:tab w:val="left" w:pos="567"/>
                <w:tab w:val="left" w:pos="1560"/>
              </w:tabs>
              <w:spacing w:line="276" w:lineRule="auto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hint="eastAsia"/>
                <w:sz w:val="22"/>
                <w:szCs w:val="16"/>
              </w:rPr>
              <w:t>投资者关系副总监：朱哲</w:t>
            </w:r>
          </w:p>
        </w:tc>
      </w:tr>
      <w:tr w:rsidR="007A550C">
        <w:trPr>
          <w:trHeight w:val="1757"/>
        </w:trPr>
        <w:tc>
          <w:tcPr>
            <w:tcW w:w="1908" w:type="dxa"/>
            <w:shd w:val="clear" w:color="auto" w:fill="auto"/>
            <w:vAlign w:val="center"/>
          </w:tcPr>
          <w:p w:rsidR="007A550C" w:rsidRDefault="00700D5E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  <w:p w:rsidR="007A550C" w:rsidRDefault="007A550C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614" w:type="dxa"/>
            <w:shd w:val="clear" w:color="auto" w:fill="auto"/>
          </w:tcPr>
          <w:p w:rsidR="007A550C" w:rsidRDefault="00700D5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一、董事会秘书介绍公司基本情况</w:t>
            </w:r>
          </w:p>
          <w:p w:rsidR="007A550C" w:rsidRPr="00DE61E7" w:rsidRDefault="00700D5E">
            <w:pPr>
              <w:ind w:firstLineChars="200" w:firstLine="420"/>
            </w:pPr>
            <w:r>
              <w:rPr>
                <w:rFonts w:hint="eastAsia"/>
              </w:rPr>
              <w:t>公司现有完整的产业链条涵盖医药产品的研发、生产和销售。公司产品主要聚焦于消化、呼吸、心血管和抗肿瘤等疾病治疗领域，并且在消化和呼吸领域有显著优势。公司现有研发人员</w:t>
            </w:r>
            <w:r>
              <w:rPr>
                <w:rFonts w:hint="eastAsia"/>
              </w:rPr>
              <w:t>5</w:t>
            </w:r>
            <w:r>
              <w:t>00</w:t>
            </w:r>
            <w:r>
              <w:t>余人，</w:t>
            </w:r>
            <w:r>
              <w:rPr>
                <w:rFonts w:hint="eastAsia"/>
              </w:rPr>
              <w:t>目前的研发管线有</w:t>
            </w: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多个研发储备，其中在</w:t>
            </w:r>
            <w:proofErr w:type="gramStart"/>
            <w:r>
              <w:rPr>
                <w:rFonts w:hint="eastAsia"/>
              </w:rPr>
              <w:t>研</w:t>
            </w:r>
            <w:proofErr w:type="gramEnd"/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类新药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项，采取自主</w:t>
            </w:r>
            <w:r>
              <w:t>与</w:t>
            </w:r>
            <w:r>
              <w:rPr>
                <w:rFonts w:hint="eastAsia"/>
              </w:rPr>
              <w:t>合作的研发模式，销售网络覆盖全国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多个省。公司</w:t>
            </w:r>
            <w:r>
              <w:rPr>
                <w:rFonts w:hint="eastAsia"/>
              </w:rPr>
              <w:t>2005</w:t>
            </w:r>
            <w:r>
              <w:rPr>
                <w:rFonts w:hint="eastAsia"/>
              </w:rPr>
              <w:t>年在香港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股上市，</w:t>
            </w: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年起与</w:t>
            </w:r>
            <w:r>
              <w:t>CJ HealthCare</w:t>
            </w:r>
            <w:r>
              <w:rPr>
                <w:rFonts w:hint="eastAsia"/>
              </w:rPr>
              <w:t>、阿斯利康和阿拉宾度等公司开展密切合作。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年完成从香港联交</w:t>
            </w:r>
            <w:proofErr w:type="gramStart"/>
            <w:r>
              <w:rPr>
                <w:rFonts w:hint="eastAsia"/>
              </w:rPr>
              <w:t>所创业</w:t>
            </w:r>
            <w:proofErr w:type="gramEnd"/>
            <w:r>
              <w:rPr>
                <w:rFonts w:hint="eastAsia"/>
              </w:rPr>
              <w:t>板私有化退市，</w:t>
            </w: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年底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股上市申请获证监会核准。公司主营业务包括</w:t>
            </w:r>
            <w:r>
              <w:t>两</w:t>
            </w:r>
            <w:r>
              <w:rPr>
                <w:rFonts w:hint="eastAsia"/>
              </w:rPr>
              <w:t>大板块：医药工业和医药商业。</w:t>
            </w:r>
            <w:r w:rsidR="00DE61E7">
              <w:rPr>
                <w:rFonts w:hint="eastAsia"/>
              </w:rPr>
              <w:t>未来</w:t>
            </w:r>
            <w:r w:rsidR="00DE61E7" w:rsidRPr="00DE61E7">
              <w:rPr>
                <w:rFonts w:hint="eastAsia"/>
              </w:rPr>
              <w:t>通过集约化发展、创新化发展、国际化发展以及融产发展，公司将加快转型发展，保持行业领先。</w:t>
            </w:r>
          </w:p>
          <w:p w:rsidR="007A550C" w:rsidRDefault="00700D5E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二、交流环节</w:t>
            </w:r>
          </w:p>
          <w:p w:rsidR="007A550C" w:rsidRDefault="00700D5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1.</w:t>
            </w:r>
            <w:r w:rsidR="00E12DC3">
              <w:rPr>
                <w:rFonts w:hint="eastAsia"/>
              </w:rPr>
              <w:t xml:space="preserve"> </w:t>
            </w:r>
            <w:r w:rsidR="00105148">
              <w:rPr>
                <w:rFonts w:hint="eastAsia"/>
                <w:b/>
                <w:bCs/>
              </w:rPr>
              <w:t>公司与印度阿拉宾度</w:t>
            </w:r>
            <w:r w:rsidR="00105148" w:rsidRPr="00105148">
              <w:rPr>
                <w:rFonts w:hint="eastAsia"/>
                <w:b/>
                <w:bCs/>
              </w:rPr>
              <w:t>合资设立罗欣安若维他药业（成都）有限公司，合作引进</w:t>
            </w:r>
            <w:r w:rsidR="00105148" w:rsidRPr="00105148">
              <w:rPr>
                <w:rFonts w:hint="eastAsia"/>
                <w:b/>
                <w:bCs/>
              </w:rPr>
              <w:t>13</w:t>
            </w:r>
            <w:r w:rsidR="00105148" w:rsidRPr="00105148">
              <w:rPr>
                <w:rFonts w:hint="eastAsia"/>
                <w:b/>
                <w:bCs/>
              </w:rPr>
              <w:t>个雾化吸入产品和</w:t>
            </w:r>
            <w:r w:rsidR="00105148" w:rsidRPr="00105148">
              <w:rPr>
                <w:rFonts w:hint="eastAsia"/>
                <w:b/>
                <w:bCs/>
              </w:rPr>
              <w:t>BFS</w:t>
            </w:r>
            <w:r w:rsidR="00105148" w:rsidRPr="00105148">
              <w:rPr>
                <w:rFonts w:hint="eastAsia"/>
                <w:b/>
                <w:bCs/>
              </w:rPr>
              <w:t>生产线，请公司领导介绍在呼吸管线的布局及展望。</w:t>
            </w:r>
          </w:p>
          <w:p w:rsidR="00DE61E7" w:rsidRDefault="00105148">
            <w:pPr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  <w:kern w:val="0"/>
                <w:szCs w:val="24"/>
                <w:lang w:val="zh-CN"/>
              </w:rPr>
              <w:t>公司</w:t>
            </w:r>
            <w:r w:rsidRPr="00BD0261">
              <w:rPr>
                <w:rFonts w:ascii="宋体" w:hAnsi="宋体" w:hint="eastAsia"/>
                <w:kern w:val="0"/>
                <w:szCs w:val="24"/>
                <w:lang w:val="zh-CN"/>
              </w:rPr>
              <w:t>与印度阿拉宾度制药有限公司（Aurobindo Pharma）合资设立罗欣安若维他药业（成都）有限公司，从事呼吸领域产品的研发、生产及销售。阿拉宾度制药有限公司是印度前五大制药公司之一，</w:t>
            </w:r>
            <w:r>
              <w:rPr>
                <w:rFonts w:ascii="宋体" w:hAnsi="宋体" w:hint="eastAsia"/>
                <w:kern w:val="0"/>
                <w:szCs w:val="24"/>
                <w:lang w:val="zh-CN"/>
              </w:rPr>
              <w:t>公司</w:t>
            </w:r>
            <w:r w:rsidRPr="00BD0261">
              <w:rPr>
                <w:rFonts w:ascii="宋体" w:hAnsi="宋体" w:hint="eastAsia"/>
                <w:kern w:val="0"/>
                <w:szCs w:val="24"/>
                <w:lang w:val="zh-CN"/>
              </w:rPr>
              <w:t>通过与阿拉宾度制药有限公司的合作引进其13个雾化吸入产品和稀缺行业优势技术平台（BFS生产线）</w:t>
            </w:r>
            <w:r>
              <w:rPr>
                <w:rFonts w:ascii="宋体" w:hAnsi="宋体" w:hint="eastAsia"/>
                <w:kern w:val="0"/>
                <w:szCs w:val="24"/>
                <w:lang w:val="zh-CN"/>
              </w:rPr>
              <w:t>，主要包括</w:t>
            </w:r>
            <w:proofErr w:type="gramStart"/>
            <w:r>
              <w:rPr>
                <w:rFonts w:ascii="宋体" w:hAnsi="宋体" w:hint="eastAsia"/>
                <w:kern w:val="0"/>
                <w:szCs w:val="24"/>
                <w:lang w:val="zh-CN"/>
              </w:rPr>
              <w:t>布地奈德</w:t>
            </w:r>
            <w:proofErr w:type="gramEnd"/>
            <w:r>
              <w:rPr>
                <w:rFonts w:ascii="宋体" w:hAnsi="宋体" w:hint="eastAsia"/>
                <w:kern w:val="0"/>
                <w:szCs w:val="24"/>
                <w:lang w:val="zh-CN"/>
              </w:rPr>
              <w:t>、</w:t>
            </w:r>
            <w:r w:rsidRPr="009C0CD1">
              <w:rPr>
                <w:rFonts w:ascii="宋体" w:hAnsi="宋体" w:cs="宋体"/>
                <w:kern w:val="0"/>
                <w:szCs w:val="21"/>
              </w:rPr>
              <w:t>异丙托溴铵、</w:t>
            </w:r>
            <w:r w:rsidRPr="000306B8">
              <w:rPr>
                <w:rFonts w:ascii="宋体" w:hAnsi="宋体" w:cs="宋体" w:hint="eastAsia"/>
                <w:kern w:val="0"/>
                <w:szCs w:val="21"/>
              </w:rPr>
              <w:lastRenderedPageBreak/>
              <w:t>左旋沙丁胺醇</w:t>
            </w:r>
            <w:r>
              <w:rPr>
                <w:rFonts w:ascii="宋体" w:hAnsi="宋体" w:cs="宋体"/>
                <w:kern w:val="0"/>
                <w:szCs w:val="21"/>
              </w:rPr>
              <w:t>、</w:t>
            </w:r>
            <w:proofErr w:type="gramStart"/>
            <w:r w:rsidRPr="000306B8">
              <w:rPr>
                <w:rFonts w:ascii="宋体" w:hAnsi="宋体" w:cs="宋体" w:hint="eastAsia"/>
                <w:kern w:val="0"/>
                <w:szCs w:val="21"/>
              </w:rPr>
              <w:t>特</w:t>
            </w:r>
            <w:proofErr w:type="gramEnd"/>
            <w:r w:rsidRPr="000306B8">
              <w:rPr>
                <w:rFonts w:ascii="宋体" w:hAnsi="宋体" w:cs="宋体" w:hint="eastAsia"/>
                <w:kern w:val="0"/>
                <w:szCs w:val="21"/>
              </w:rPr>
              <w:t>布他林</w:t>
            </w:r>
            <w:r>
              <w:rPr>
                <w:rFonts w:ascii="宋体" w:hAnsi="宋体" w:cs="宋体" w:hint="eastAsia"/>
                <w:kern w:val="0"/>
                <w:szCs w:val="21"/>
              </w:rPr>
              <w:t>等</w:t>
            </w:r>
            <w:r w:rsidRPr="00BD0261">
              <w:rPr>
                <w:rFonts w:ascii="宋体" w:hAnsi="宋体" w:hint="eastAsia"/>
                <w:kern w:val="0"/>
                <w:szCs w:val="24"/>
                <w:lang w:val="zh-CN"/>
              </w:rPr>
              <w:t>。</w:t>
            </w:r>
            <w:r w:rsidRPr="00810025">
              <w:rPr>
                <w:rFonts w:ascii="宋体" w:hAnsi="宋体" w:hint="eastAsia"/>
                <w:kern w:val="0"/>
                <w:szCs w:val="24"/>
                <w:lang w:val="zh-CN"/>
              </w:rPr>
              <w:t>此次引入的雾化吸入产品大多有较强的技术壁垒，通过引入，相关技术可以在国内落地。合作业务上将分三步走：①阿拉宾度将欧美的产品批件落地至合资公司，明年有望开始将产品供应欧美，快速实现生产线国际化；②将相关产品进口注册；③实现本地化生产。</w:t>
            </w:r>
          </w:p>
          <w:p w:rsidR="007A550C" w:rsidRDefault="00700D5E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="00105148">
              <w:rPr>
                <w:rFonts w:hint="eastAsia"/>
              </w:rPr>
              <w:t xml:space="preserve"> </w:t>
            </w:r>
            <w:r w:rsidR="00105148" w:rsidRPr="00105148">
              <w:rPr>
                <w:rFonts w:hint="eastAsia"/>
                <w:b/>
                <w:bCs/>
              </w:rPr>
              <w:t>公司一类创新药</w:t>
            </w:r>
            <w:r w:rsidR="00105148" w:rsidRPr="00105148">
              <w:rPr>
                <w:rFonts w:hint="eastAsia"/>
                <w:b/>
                <w:bCs/>
              </w:rPr>
              <w:t>LX-086</w:t>
            </w:r>
            <w:r w:rsidR="00105148" w:rsidRPr="00105148">
              <w:rPr>
                <w:rFonts w:hint="eastAsia"/>
                <w:b/>
                <w:bCs/>
              </w:rPr>
              <w:t>（</w:t>
            </w:r>
            <w:r w:rsidR="00105148" w:rsidRPr="00105148">
              <w:rPr>
                <w:rFonts w:hint="eastAsia"/>
                <w:b/>
                <w:bCs/>
              </w:rPr>
              <w:t>PI3K</w:t>
            </w:r>
            <w:r w:rsidR="00105148">
              <w:rPr>
                <w:rFonts w:hint="eastAsia"/>
                <w:b/>
                <w:bCs/>
              </w:rPr>
              <w:t>α选择性抑制剂）即将进入临床试验阶段，预计选择试验</w:t>
            </w:r>
            <w:proofErr w:type="gramStart"/>
            <w:r w:rsidR="00105148">
              <w:rPr>
                <w:rFonts w:hint="eastAsia"/>
                <w:b/>
                <w:bCs/>
              </w:rPr>
              <w:t>的瘤种是</w:t>
            </w:r>
            <w:proofErr w:type="gramEnd"/>
            <w:r w:rsidR="00105148">
              <w:rPr>
                <w:rFonts w:hint="eastAsia"/>
                <w:b/>
                <w:bCs/>
              </w:rPr>
              <w:t>什么</w:t>
            </w:r>
            <w:r>
              <w:rPr>
                <w:rFonts w:hint="eastAsia"/>
                <w:b/>
                <w:bCs/>
              </w:rPr>
              <w:t>？</w:t>
            </w:r>
          </w:p>
          <w:p w:rsidR="00583F54" w:rsidRPr="00583F54" w:rsidRDefault="00105148" w:rsidP="00583F54">
            <w:pPr>
              <w:ind w:firstLineChars="200" w:firstLine="420"/>
              <w:rPr>
                <w:rFonts w:ascii="宋体" w:hAnsi="宋体" w:cs="宋体"/>
              </w:rPr>
            </w:pPr>
            <w:r w:rsidRPr="00CD48F5">
              <w:rPr>
                <w:rFonts w:ascii="宋体" w:hAnsi="宋体" w:cs="宋体" w:hint="eastAsia"/>
              </w:rPr>
              <w:t>L</w:t>
            </w:r>
            <w:r w:rsidRPr="00CD48F5">
              <w:rPr>
                <w:rFonts w:ascii="宋体" w:hAnsi="宋体" w:cs="宋体"/>
              </w:rPr>
              <w:t>X-086</w:t>
            </w:r>
            <w:r w:rsidRPr="00CD48F5">
              <w:rPr>
                <w:rFonts w:ascii="宋体" w:hAnsi="宋体" w:cs="宋体" w:hint="eastAsia"/>
              </w:rPr>
              <w:t>针对的靶点明确，</w:t>
            </w:r>
            <w:r w:rsidRPr="00CD48F5">
              <w:rPr>
                <w:rFonts w:ascii="宋体" w:hAnsi="宋体" w:cs="宋体"/>
              </w:rPr>
              <w:t>PI3Kα</w:t>
            </w:r>
            <w:r w:rsidRPr="00CD48F5">
              <w:rPr>
                <w:rFonts w:ascii="宋体" w:hAnsi="宋体" w:cs="宋体" w:hint="eastAsia"/>
              </w:rPr>
              <w:t>突变在乳腺癌、子宫内膜</w:t>
            </w:r>
            <w:r>
              <w:rPr>
                <w:rFonts w:ascii="宋体" w:hAnsi="宋体" w:cs="宋体" w:hint="eastAsia"/>
              </w:rPr>
              <w:t>癌、卵巢癌、头颈癌、食管癌等</w:t>
            </w:r>
            <w:r w:rsidR="00EC6685" w:rsidRPr="00CD48F5">
              <w:rPr>
                <w:rFonts w:ascii="宋体" w:hAnsi="宋体" w:cs="宋体" w:hint="eastAsia"/>
              </w:rPr>
              <w:t>癌症</w:t>
            </w:r>
            <w:r w:rsidR="00EC6685">
              <w:rPr>
                <w:rFonts w:ascii="宋体" w:hAnsi="宋体" w:cs="宋体" w:hint="eastAsia"/>
              </w:rPr>
              <w:t>中</w:t>
            </w:r>
            <w:r>
              <w:rPr>
                <w:rFonts w:ascii="宋体" w:hAnsi="宋体" w:cs="宋体" w:hint="eastAsia"/>
              </w:rPr>
              <w:t>发生</w:t>
            </w:r>
            <w:r w:rsidR="00EC6685">
              <w:rPr>
                <w:rFonts w:ascii="宋体" w:hAnsi="宋体" w:cs="宋体" w:hint="eastAsia"/>
              </w:rPr>
              <w:t>率</w:t>
            </w:r>
            <w:r>
              <w:rPr>
                <w:rFonts w:ascii="宋体" w:hAnsi="宋体" w:cs="宋体" w:hint="eastAsia"/>
              </w:rPr>
              <w:t>较高，预计可以实现较好的疗效。</w:t>
            </w:r>
            <w:r w:rsidRPr="00CD48F5">
              <w:rPr>
                <w:rFonts w:ascii="宋体" w:hAnsi="宋体" w:cs="宋体" w:hint="eastAsia"/>
              </w:rPr>
              <w:t>公司预计在一期临床中，针对上述癌症中的安全性和有效性，后期针对具体癌种进行开发。同时公司也会建立长期的毒理、药效学研究，开</w:t>
            </w:r>
            <w:proofErr w:type="gramStart"/>
            <w:r w:rsidRPr="00CD48F5">
              <w:rPr>
                <w:rFonts w:ascii="宋体" w:hAnsi="宋体" w:cs="宋体" w:hint="eastAsia"/>
              </w:rPr>
              <w:t>括</w:t>
            </w:r>
            <w:proofErr w:type="gramEnd"/>
            <w:r w:rsidRPr="00CD48F5">
              <w:rPr>
                <w:rFonts w:ascii="宋体" w:hAnsi="宋体" w:cs="宋体" w:hint="eastAsia"/>
              </w:rPr>
              <w:t>合适的药物联用。</w:t>
            </w:r>
          </w:p>
          <w:p w:rsidR="007A550C" w:rsidRDefault="00700D5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3.</w:t>
            </w:r>
            <w:r w:rsidR="00583F54">
              <w:rPr>
                <w:rFonts w:hint="eastAsia"/>
              </w:rPr>
              <w:t xml:space="preserve"> </w:t>
            </w:r>
            <w:r w:rsidR="00583F54" w:rsidRPr="00583F54">
              <w:rPr>
                <w:rFonts w:hint="eastAsia"/>
                <w:b/>
                <w:bCs/>
              </w:rPr>
              <w:t>LXI-15028</w:t>
            </w:r>
            <w:r w:rsidR="00583F54" w:rsidRPr="00583F54">
              <w:rPr>
                <w:rFonts w:hint="eastAsia"/>
                <w:b/>
                <w:bCs/>
              </w:rPr>
              <w:t>的研发进展</w:t>
            </w:r>
            <w:r w:rsidR="00583F54">
              <w:rPr>
                <w:rFonts w:hint="eastAsia"/>
                <w:b/>
                <w:bCs/>
              </w:rPr>
              <w:t>如何？</w:t>
            </w:r>
          </w:p>
          <w:p w:rsidR="00583F54" w:rsidRDefault="00583F54" w:rsidP="00583F54">
            <w:pPr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L</w:t>
            </w:r>
            <w:r>
              <w:rPr>
                <w:rFonts w:ascii="宋体" w:hAnsi="宋体" w:cs="宋体"/>
              </w:rPr>
              <w:t>XI-15028</w:t>
            </w:r>
            <w:r>
              <w:rPr>
                <w:rFonts w:ascii="宋体" w:hAnsi="宋体" w:cs="宋体" w:hint="eastAsia"/>
              </w:rPr>
              <w:t>是一种新型钾离子竞争性酸阻滞剂药物（P-</w:t>
            </w:r>
            <w:r>
              <w:rPr>
                <w:rFonts w:ascii="宋体" w:hAnsi="宋体" w:cs="宋体"/>
              </w:rPr>
              <w:t>CAB</w:t>
            </w:r>
            <w:r>
              <w:rPr>
                <w:rFonts w:ascii="宋体" w:hAnsi="宋体" w:cs="宋体" w:hint="eastAsia"/>
              </w:rPr>
              <w:t>），与质子泵抑制剂（PPI）相比，LXI-15028具有起效快、首</w:t>
            </w:r>
            <w:proofErr w:type="gramStart"/>
            <w:r>
              <w:rPr>
                <w:rFonts w:ascii="宋体" w:hAnsi="宋体" w:cs="宋体" w:hint="eastAsia"/>
              </w:rPr>
              <w:t>剂全效</w:t>
            </w:r>
            <w:proofErr w:type="gramEnd"/>
            <w:r>
              <w:rPr>
                <w:rFonts w:ascii="宋体" w:hAnsi="宋体" w:cs="宋体" w:hint="eastAsia"/>
              </w:rPr>
              <w:t>、持久抑酸、使用方便（无需餐前服药）、个体差异小、药物相互作用少等优势，是公司在消化领域产品线的重要补充和升级。</w:t>
            </w:r>
          </w:p>
          <w:p w:rsidR="00583F54" w:rsidRDefault="00583F54" w:rsidP="00583F54">
            <w:pPr>
              <w:ind w:firstLineChars="200" w:firstLine="420"/>
              <w:rPr>
                <w:rFonts w:ascii="宋体" w:hAnsi="宋体" w:cs="宋体"/>
              </w:rPr>
            </w:pPr>
            <w:r w:rsidRPr="00583F54">
              <w:rPr>
                <w:rFonts w:ascii="宋体" w:hAnsi="宋体" w:cs="宋体" w:hint="eastAsia"/>
              </w:rPr>
              <w:t>LXI-15028糜烂性食管炎适应症和艾司奥美拉</w:t>
            </w:r>
            <w:proofErr w:type="gramStart"/>
            <w:r w:rsidRPr="00583F54">
              <w:rPr>
                <w:rFonts w:ascii="宋体" w:hAnsi="宋体" w:cs="宋体" w:hint="eastAsia"/>
              </w:rPr>
              <w:t>唑</w:t>
            </w:r>
            <w:proofErr w:type="gramEnd"/>
            <w:r w:rsidRPr="00583F54">
              <w:rPr>
                <w:rFonts w:ascii="宋体" w:hAnsi="宋体" w:cs="宋体" w:hint="eastAsia"/>
              </w:rPr>
              <w:t>对照的III</w:t>
            </w:r>
            <w:r>
              <w:rPr>
                <w:rFonts w:ascii="宋体" w:hAnsi="宋体" w:cs="宋体" w:hint="eastAsia"/>
              </w:rPr>
              <w:t>期临床试验已经接近尾声，</w:t>
            </w:r>
            <w:r w:rsidRPr="00583F54">
              <w:rPr>
                <w:rFonts w:ascii="宋体" w:hAnsi="宋体" w:cs="宋体" w:hint="eastAsia"/>
              </w:rPr>
              <w:t>正在进行最后的数据整理</w:t>
            </w:r>
            <w:r>
              <w:rPr>
                <w:rFonts w:ascii="宋体" w:hAnsi="宋体" w:cs="宋体" w:hint="eastAsia"/>
              </w:rPr>
              <w:t>阶段</w:t>
            </w:r>
            <w:r w:rsidRPr="00583F54">
              <w:rPr>
                <w:rFonts w:ascii="宋体" w:hAnsi="宋体" w:cs="宋体" w:hint="eastAsia"/>
              </w:rPr>
              <w:t>，后续会按计划进行</w:t>
            </w:r>
            <w:r>
              <w:rPr>
                <w:rFonts w:ascii="宋体" w:hAnsi="宋体" w:cs="宋体" w:hint="eastAsia"/>
              </w:rPr>
              <w:t>注册</w:t>
            </w:r>
            <w:r w:rsidRPr="00583F54">
              <w:rPr>
                <w:rFonts w:ascii="宋体" w:hAnsi="宋体" w:cs="宋体" w:hint="eastAsia"/>
              </w:rPr>
              <w:t>申报。</w:t>
            </w:r>
          </w:p>
          <w:p w:rsidR="00583F54" w:rsidRPr="00583F54" w:rsidRDefault="00583F54" w:rsidP="00583F54">
            <w:pPr>
              <w:rPr>
                <w:b/>
                <w:bCs/>
              </w:rPr>
            </w:pPr>
            <w:r w:rsidRPr="00583F54">
              <w:rPr>
                <w:b/>
                <w:bCs/>
              </w:rPr>
              <w:t>4.</w:t>
            </w:r>
            <w:r w:rsidRPr="00583F54">
              <w:rPr>
                <w:rFonts w:hint="eastAsia"/>
                <w:b/>
                <w:bCs/>
              </w:rPr>
              <w:t>公司如何看待</w:t>
            </w:r>
            <w:r w:rsidRPr="00583F54">
              <w:rPr>
                <w:b/>
                <w:bCs/>
              </w:rPr>
              <w:t>普卡那</w:t>
            </w:r>
            <w:proofErr w:type="gramStart"/>
            <w:r w:rsidRPr="00583F54">
              <w:rPr>
                <w:b/>
                <w:bCs/>
              </w:rPr>
              <w:t>肽未来</w:t>
            </w:r>
            <w:proofErr w:type="gramEnd"/>
            <w:r w:rsidRPr="00583F54">
              <w:rPr>
                <w:rFonts w:hint="eastAsia"/>
                <w:b/>
                <w:bCs/>
              </w:rPr>
              <w:t>的</w:t>
            </w:r>
            <w:r w:rsidRPr="00583F54">
              <w:rPr>
                <w:b/>
                <w:bCs/>
              </w:rPr>
              <w:t>市场推广</w:t>
            </w:r>
            <w:r>
              <w:rPr>
                <w:b/>
                <w:bCs/>
              </w:rPr>
              <w:t>？</w:t>
            </w:r>
          </w:p>
          <w:p w:rsidR="00583F54" w:rsidRPr="00583F54" w:rsidRDefault="00583F54" w:rsidP="00583F54">
            <w:pPr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  <w:kern w:val="0"/>
                <w:szCs w:val="24"/>
                <w:lang w:val="zh-CN"/>
              </w:rPr>
              <w:t>普卡那肽为已上市销售的</w:t>
            </w:r>
            <w:proofErr w:type="gramStart"/>
            <w:r>
              <w:rPr>
                <w:rFonts w:ascii="宋体" w:hAnsi="宋体" w:hint="eastAsia"/>
                <w:kern w:val="0"/>
                <w:szCs w:val="24"/>
                <w:lang w:val="zh-CN"/>
              </w:rPr>
              <w:t>首款尿鸟苷</w:t>
            </w:r>
            <w:proofErr w:type="gramEnd"/>
            <w:r>
              <w:rPr>
                <w:rFonts w:ascii="宋体" w:hAnsi="宋体" w:hint="eastAsia"/>
                <w:kern w:val="0"/>
                <w:szCs w:val="24"/>
                <w:lang w:val="zh-CN"/>
              </w:rPr>
              <w:t>蛋白类似物，治疗</w:t>
            </w:r>
            <w:proofErr w:type="gramStart"/>
            <w:r>
              <w:rPr>
                <w:rFonts w:ascii="宋体" w:hAnsi="宋体" w:hint="eastAsia"/>
                <w:kern w:val="0"/>
                <w:szCs w:val="24"/>
                <w:lang w:val="zh-CN"/>
              </w:rPr>
              <w:t>成人慢发性</w:t>
            </w:r>
            <w:proofErr w:type="gramEnd"/>
            <w:r>
              <w:rPr>
                <w:rFonts w:ascii="宋体" w:hAnsi="宋体" w:hint="eastAsia"/>
                <w:kern w:val="0"/>
                <w:szCs w:val="24"/>
                <w:lang w:val="zh-CN"/>
              </w:rPr>
              <w:t>便秘症（</w:t>
            </w:r>
            <w:r>
              <w:rPr>
                <w:rFonts w:eastAsia="Times New Roman"/>
                <w:kern w:val="0"/>
                <w:szCs w:val="24"/>
                <w:lang w:val="zh-CN"/>
              </w:rPr>
              <w:t>CIC</w:t>
            </w:r>
            <w:r>
              <w:rPr>
                <w:rFonts w:ascii="宋体" w:hAnsi="宋体" w:hint="eastAsia"/>
                <w:kern w:val="0"/>
                <w:szCs w:val="24"/>
                <w:lang w:val="zh-CN"/>
              </w:rPr>
              <w:t>）及便秘型肠易激综合症（</w:t>
            </w:r>
            <w:r>
              <w:rPr>
                <w:rFonts w:eastAsia="Times New Roman"/>
                <w:kern w:val="0"/>
                <w:szCs w:val="24"/>
                <w:lang w:val="zh-CN"/>
              </w:rPr>
              <w:t>IBS-C</w:t>
            </w:r>
            <w:r>
              <w:rPr>
                <w:rFonts w:ascii="宋体" w:hAnsi="宋体" w:hint="eastAsia"/>
                <w:kern w:val="0"/>
                <w:szCs w:val="24"/>
                <w:lang w:val="zh-CN"/>
              </w:rPr>
              <w:t>），普卡那</w:t>
            </w:r>
            <w:proofErr w:type="gramStart"/>
            <w:r>
              <w:rPr>
                <w:rFonts w:ascii="宋体" w:hAnsi="宋体" w:hint="eastAsia"/>
                <w:kern w:val="0"/>
                <w:szCs w:val="24"/>
                <w:lang w:val="zh-CN"/>
              </w:rPr>
              <w:t>肽</w:t>
            </w:r>
            <w:r>
              <w:rPr>
                <w:rFonts w:ascii="宋体" w:hAnsi="宋体" w:cs="宋体" w:hint="eastAsia"/>
              </w:rPr>
              <w:t>作为</w:t>
            </w:r>
            <w:proofErr w:type="gramEnd"/>
            <w:r>
              <w:rPr>
                <w:rFonts w:ascii="宋体" w:hAnsi="宋体" w:cs="宋体" w:hint="eastAsia"/>
              </w:rPr>
              <w:t>新一代促分泌药物，可刺激肠液分泌，促进胃肠活动，有效缓解便秘症状，避免泻药对肠道的损害。</w:t>
            </w:r>
          </w:p>
          <w:p w:rsidR="00BD0261" w:rsidRDefault="00BD0261" w:rsidP="00105148">
            <w:pPr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国内消化类疾病患病率远高于欧美，</w:t>
            </w:r>
            <w:r w:rsidR="00583F54" w:rsidRPr="00583F54">
              <w:rPr>
                <w:rFonts w:ascii="宋体" w:hAnsi="宋体" w:cs="宋体" w:hint="eastAsia"/>
              </w:rPr>
              <w:t>普卡那</w:t>
            </w:r>
            <w:proofErr w:type="gramStart"/>
            <w:r w:rsidR="00583F54" w:rsidRPr="00583F54">
              <w:rPr>
                <w:rFonts w:ascii="宋体" w:hAnsi="宋体" w:cs="宋体" w:hint="eastAsia"/>
              </w:rPr>
              <w:t>肽针对</w:t>
            </w:r>
            <w:proofErr w:type="gramEnd"/>
            <w:r w:rsidR="00583F54" w:rsidRPr="00583F54">
              <w:rPr>
                <w:rFonts w:ascii="宋体" w:hAnsi="宋体" w:cs="宋体" w:hint="eastAsia"/>
              </w:rPr>
              <w:t>的适应症</w:t>
            </w:r>
            <w:r>
              <w:rPr>
                <w:rFonts w:ascii="宋体" w:hAnsi="宋体" w:cs="宋体" w:hint="eastAsia"/>
              </w:rPr>
              <w:t>国内</w:t>
            </w:r>
            <w:r w:rsidRPr="00583F54">
              <w:rPr>
                <w:rFonts w:ascii="宋体" w:hAnsi="宋体" w:cs="宋体" w:hint="eastAsia"/>
              </w:rPr>
              <w:t>患病率</w:t>
            </w:r>
            <w:r>
              <w:rPr>
                <w:rFonts w:ascii="宋体" w:hAnsi="宋体" w:cs="宋体" w:hint="eastAsia"/>
              </w:rPr>
              <w:t>高于欧美国家</w:t>
            </w:r>
            <w:r w:rsidR="00583F54" w:rsidRPr="00583F54">
              <w:rPr>
                <w:rFonts w:ascii="宋体" w:hAnsi="宋体" w:cs="宋体" w:hint="eastAsia"/>
              </w:rPr>
              <w:t>，</w:t>
            </w:r>
            <w:r>
              <w:rPr>
                <w:rFonts w:ascii="宋体" w:hAnsi="宋体" w:cs="宋体" w:hint="eastAsia"/>
              </w:rPr>
              <w:t>因此普卡那</w:t>
            </w:r>
            <w:proofErr w:type="gramStart"/>
            <w:r>
              <w:rPr>
                <w:rFonts w:ascii="宋体" w:hAnsi="宋体" w:cs="宋体" w:hint="eastAsia"/>
              </w:rPr>
              <w:t>肽未来</w:t>
            </w:r>
            <w:proofErr w:type="gramEnd"/>
            <w:r>
              <w:rPr>
                <w:rFonts w:ascii="宋体" w:hAnsi="宋体" w:cs="宋体" w:hint="eastAsia"/>
              </w:rPr>
              <w:t>的</w:t>
            </w:r>
            <w:r w:rsidR="00583F54" w:rsidRPr="00583F54">
              <w:rPr>
                <w:rFonts w:ascii="宋体" w:hAnsi="宋体" w:cs="宋体" w:hint="eastAsia"/>
              </w:rPr>
              <w:t>市</w:t>
            </w:r>
            <w:r>
              <w:rPr>
                <w:rFonts w:ascii="宋体" w:hAnsi="宋体" w:cs="宋体" w:hint="eastAsia"/>
              </w:rPr>
              <w:t>场潜力</w:t>
            </w:r>
            <w:r w:rsidR="00583F54" w:rsidRPr="00583F54">
              <w:rPr>
                <w:rFonts w:ascii="宋体" w:hAnsi="宋体" w:cs="宋体" w:hint="eastAsia"/>
              </w:rPr>
              <w:t>较大</w:t>
            </w:r>
            <w:r>
              <w:rPr>
                <w:rFonts w:ascii="宋体" w:hAnsi="宋体" w:cs="宋体" w:hint="eastAsia"/>
              </w:rPr>
              <w:t>。另外，</w:t>
            </w:r>
            <w:r w:rsidR="00583F54" w:rsidRPr="00583F54">
              <w:rPr>
                <w:rFonts w:ascii="宋体" w:hAnsi="宋体" w:cs="宋体" w:hint="eastAsia"/>
              </w:rPr>
              <w:t>公司在消化领域</w:t>
            </w:r>
            <w:r>
              <w:rPr>
                <w:rFonts w:ascii="宋体" w:hAnsi="宋体" w:cs="宋体" w:hint="eastAsia"/>
              </w:rPr>
              <w:t>临床、销售</w:t>
            </w:r>
            <w:r w:rsidR="00583F54" w:rsidRPr="00583F54">
              <w:rPr>
                <w:rFonts w:ascii="宋体" w:hAnsi="宋体" w:cs="宋体" w:hint="eastAsia"/>
              </w:rPr>
              <w:t>KOL</w:t>
            </w:r>
            <w:r>
              <w:rPr>
                <w:rFonts w:ascii="宋体" w:hAnsi="宋体" w:cs="宋体" w:hint="eastAsia"/>
              </w:rPr>
              <w:t>、医院终端</w:t>
            </w:r>
            <w:r w:rsidR="00583F54" w:rsidRPr="00583F54">
              <w:rPr>
                <w:rFonts w:ascii="宋体" w:hAnsi="宋体" w:cs="宋体" w:hint="eastAsia"/>
              </w:rPr>
              <w:t>等</w:t>
            </w:r>
            <w:r>
              <w:rPr>
                <w:rFonts w:ascii="宋体" w:hAnsi="宋体" w:cs="宋体" w:hint="eastAsia"/>
              </w:rPr>
              <w:t>方面</w:t>
            </w:r>
            <w:r w:rsidR="00583F54" w:rsidRPr="00583F54">
              <w:rPr>
                <w:rFonts w:ascii="宋体" w:hAnsi="宋体" w:cs="宋体" w:hint="eastAsia"/>
              </w:rPr>
              <w:t>有自己的</w:t>
            </w:r>
            <w:r>
              <w:rPr>
                <w:rFonts w:ascii="宋体" w:hAnsi="宋体" w:cs="宋体" w:hint="eastAsia"/>
              </w:rPr>
              <w:t>独特优势，</w:t>
            </w:r>
            <w:r w:rsidR="00767E71">
              <w:rPr>
                <w:rFonts w:ascii="宋体" w:hAnsi="宋体" w:cs="宋体" w:hint="eastAsia"/>
              </w:rPr>
              <w:t>都将</w:t>
            </w:r>
            <w:r>
              <w:rPr>
                <w:rFonts w:ascii="宋体" w:hAnsi="宋体" w:cs="宋体" w:hint="eastAsia"/>
              </w:rPr>
              <w:t>有利于公司该产品未来上市后的市场推广</w:t>
            </w:r>
            <w:r w:rsidR="00583F54" w:rsidRPr="00583F54">
              <w:rPr>
                <w:rFonts w:ascii="宋体" w:hAnsi="宋体" w:cs="宋体" w:hint="eastAsia"/>
              </w:rPr>
              <w:t>。</w:t>
            </w:r>
          </w:p>
          <w:p w:rsidR="00793C9A" w:rsidRDefault="00793C9A" w:rsidP="00793C9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5.</w:t>
            </w:r>
            <w:r w:rsidRPr="00E12DC3">
              <w:rPr>
                <w:rFonts w:hint="eastAsia"/>
                <w:b/>
                <w:bCs/>
              </w:rPr>
              <w:t>公司整体</w:t>
            </w:r>
            <w:r>
              <w:rPr>
                <w:rFonts w:hint="eastAsia"/>
                <w:b/>
                <w:bCs/>
              </w:rPr>
              <w:t>的</w:t>
            </w:r>
            <w:r w:rsidRPr="00E12DC3">
              <w:rPr>
                <w:rFonts w:hint="eastAsia"/>
                <w:b/>
                <w:bCs/>
              </w:rPr>
              <w:t>研发策略</w:t>
            </w:r>
            <w:r>
              <w:rPr>
                <w:rFonts w:hint="eastAsia"/>
                <w:b/>
                <w:bCs/>
              </w:rPr>
              <w:t>、</w:t>
            </w:r>
            <w:r w:rsidRPr="00E12DC3">
              <w:rPr>
                <w:rFonts w:hint="eastAsia"/>
                <w:b/>
                <w:bCs/>
              </w:rPr>
              <w:t>靶点和治疗领域</w:t>
            </w:r>
            <w:r>
              <w:rPr>
                <w:rFonts w:hint="eastAsia"/>
                <w:b/>
                <w:bCs/>
              </w:rPr>
              <w:t>的</w:t>
            </w:r>
            <w:r w:rsidRPr="00E12DC3">
              <w:rPr>
                <w:rFonts w:hint="eastAsia"/>
                <w:b/>
                <w:bCs/>
              </w:rPr>
              <w:t>选择</w:t>
            </w:r>
            <w:r>
              <w:rPr>
                <w:rFonts w:hint="eastAsia"/>
                <w:b/>
                <w:bCs/>
              </w:rPr>
              <w:t>是怎样的？</w:t>
            </w:r>
          </w:p>
          <w:p w:rsidR="00793C9A" w:rsidRDefault="00793C9A" w:rsidP="00793C9A">
            <w:pPr>
              <w:ind w:firstLineChars="200" w:firstLine="420"/>
              <w:rPr>
                <w:rFonts w:ascii="宋体" w:hAnsi="宋体" w:cs="宋体"/>
              </w:rPr>
            </w:pPr>
            <w:r w:rsidRPr="00DE61E7">
              <w:rPr>
                <w:rFonts w:ascii="宋体" w:hAnsi="宋体" w:cs="宋体" w:hint="eastAsia"/>
              </w:rPr>
              <w:t>公司</w:t>
            </w:r>
            <w:r>
              <w:rPr>
                <w:rFonts w:ascii="宋体" w:hAnsi="宋体" w:cs="宋体" w:hint="eastAsia"/>
              </w:rPr>
              <w:t>采取</w:t>
            </w:r>
            <w:r w:rsidRPr="00DE61E7">
              <w:rPr>
                <w:rFonts w:ascii="宋体" w:hAnsi="宋体" w:cs="宋体" w:hint="eastAsia"/>
              </w:rPr>
              <w:t>合作研发和自主研发并行</w:t>
            </w:r>
            <w:r>
              <w:rPr>
                <w:rFonts w:ascii="宋体" w:hAnsi="宋体" w:cs="宋体" w:hint="eastAsia"/>
              </w:rPr>
              <w:t>的研发策略，</w:t>
            </w:r>
            <w:r w:rsidRPr="00DE61E7">
              <w:rPr>
                <w:rFonts w:ascii="宋体" w:hAnsi="宋体" w:cs="宋体" w:hint="eastAsia"/>
              </w:rPr>
              <w:t>合作研发</w:t>
            </w:r>
            <w:r>
              <w:rPr>
                <w:rFonts w:ascii="宋体" w:hAnsi="宋体" w:cs="宋体" w:hint="eastAsia"/>
              </w:rPr>
              <w:t>对象主要包括国内和海外科研院所、知名的</w:t>
            </w:r>
            <w:proofErr w:type="gramStart"/>
            <w:r>
              <w:rPr>
                <w:rFonts w:ascii="宋体" w:hAnsi="宋体" w:cs="宋体" w:hint="eastAsia"/>
              </w:rPr>
              <w:t>大型药企</w:t>
            </w:r>
            <w:r w:rsidRPr="00DE61E7">
              <w:rPr>
                <w:rFonts w:ascii="宋体" w:hAnsi="宋体" w:cs="宋体" w:hint="eastAsia"/>
              </w:rPr>
              <w:t>等</w:t>
            </w:r>
            <w:proofErr w:type="gramEnd"/>
            <w:r w:rsidRPr="00DE61E7">
              <w:rPr>
                <w:rFonts w:ascii="宋体" w:hAnsi="宋体" w:cs="宋体" w:hint="eastAsia"/>
              </w:rPr>
              <w:t>，主要选择引进已完成二期临床</w:t>
            </w:r>
            <w:r>
              <w:rPr>
                <w:rFonts w:ascii="宋体" w:hAnsi="宋体" w:cs="宋体" w:hint="eastAsia"/>
              </w:rPr>
              <w:t>、</w:t>
            </w:r>
            <w:r w:rsidRPr="00DE61E7">
              <w:rPr>
                <w:rFonts w:ascii="宋体" w:hAnsi="宋体" w:cs="宋体" w:hint="eastAsia"/>
              </w:rPr>
              <w:t>处于三期临床阶段</w:t>
            </w:r>
            <w:r>
              <w:rPr>
                <w:rFonts w:ascii="宋体" w:hAnsi="宋体" w:cs="宋体" w:hint="eastAsia"/>
              </w:rPr>
              <w:t>或</w:t>
            </w:r>
            <w:r w:rsidRPr="00DE61E7">
              <w:rPr>
                <w:rFonts w:ascii="宋体" w:hAnsi="宋体" w:cs="宋体" w:hint="eastAsia"/>
              </w:rPr>
              <w:t>已上市的产品。公司会重点</w:t>
            </w:r>
            <w:r>
              <w:rPr>
                <w:rFonts w:ascii="宋体" w:hAnsi="宋体" w:cs="宋体" w:hint="eastAsia"/>
              </w:rPr>
              <w:t>聚焦消化和呼吸领域的产品，发挥公司在上述领域临床、注册、生产、销售等方面</w:t>
            </w:r>
            <w:r w:rsidRPr="00DE61E7">
              <w:rPr>
                <w:rFonts w:ascii="宋体" w:hAnsi="宋体" w:cs="宋体" w:hint="eastAsia"/>
              </w:rPr>
              <w:t>的优势，匹配公司整体的</w:t>
            </w:r>
            <w:r>
              <w:rPr>
                <w:rFonts w:ascii="宋体" w:hAnsi="宋体" w:cs="宋体" w:hint="eastAsia"/>
              </w:rPr>
              <w:t>研发实力</w:t>
            </w:r>
            <w:r w:rsidRPr="00DE61E7">
              <w:rPr>
                <w:rFonts w:ascii="宋体" w:hAnsi="宋体" w:cs="宋体" w:hint="eastAsia"/>
              </w:rPr>
              <w:t>。</w:t>
            </w:r>
          </w:p>
          <w:p w:rsidR="00793C9A" w:rsidRDefault="00793C9A" w:rsidP="00793C9A">
            <w:pPr>
              <w:ind w:firstLineChars="200" w:firstLine="420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cs="宋体" w:hint="eastAsia"/>
              </w:rPr>
              <w:t>公司</w:t>
            </w:r>
            <w:r>
              <w:rPr>
                <w:rFonts w:ascii="宋体" w:hAnsi="宋体" w:cs="宋体"/>
              </w:rPr>
              <w:t>创新药的引进策略主要聚焦于消化及呼吸优势领域，选取靶点多</w:t>
            </w:r>
            <w:r>
              <w:rPr>
                <w:rFonts w:ascii="宋体" w:hAnsi="宋体" w:cs="宋体" w:hint="eastAsia"/>
              </w:rPr>
              <w:t>为</w:t>
            </w:r>
            <w:r>
              <w:rPr>
                <w:rFonts w:ascii="宋体" w:hAnsi="宋体" w:cs="宋体"/>
              </w:rPr>
              <w:t>国际上比较成熟、</w:t>
            </w:r>
            <w:r>
              <w:rPr>
                <w:rFonts w:ascii="宋体" w:hAnsi="宋体" w:cs="宋体" w:hint="eastAsia"/>
              </w:rPr>
              <w:t>走在</w:t>
            </w:r>
            <w:r>
              <w:rPr>
                <w:rFonts w:ascii="宋体" w:hAnsi="宋体" w:cs="宋体"/>
              </w:rPr>
              <w:t>前三位的化合物，比如</w:t>
            </w:r>
            <w:r>
              <w:rPr>
                <w:rFonts w:ascii="宋体" w:hAnsi="宋体" w:cs="宋体" w:hint="eastAsia"/>
              </w:rPr>
              <w:t>公司研发管线中的L</w:t>
            </w:r>
            <w:r>
              <w:rPr>
                <w:rFonts w:ascii="宋体" w:hAnsi="宋体" w:cs="宋体"/>
              </w:rPr>
              <w:t>XI-15028</w:t>
            </w:r>
            <w:r>
              <w:rPr>
                <w:rFonts w:ascii="宋体" w:hAnsi="宋体" w:cs="宋体" w:hint="eastAsia"/>
              </w:rPr>
              <w:t>是从韩国C</w:t>
            </w:r>
            <w:r>
              <w:rPr>
                <w:rFonts w:ascii="宋体" w:hAnsi="宋体" w:cs="宋体"/>
              </w:rPr>
              <w:t>J H</w:t>
            </w:r>
            <w:r>
              <w:rPr>
                <w:rFonts w:ascii="宋体" w:hAnsi="宋体" w:cs="宋体" w:hint="eastAsia"/>
              </w:rPr>
              <w:t>ealthcare公司引入的</w:t>
            </w:r>
            <w:r>
              <w:rPr>
                <w:rFonts w:ascii="宋体" w:hAnsi="宋体" w:cs="宋体"/>
              </w:rPr>
              <w:t>P</w:t>
            </w:r>
            <w:r>
              <w:rPr>
                <w:rFonts w:ascii="宋体" w:hAnsi="宋体" w:cs="宋体" w:hint="eastAsia"/>
              </w:rPr>
              <w:t>-CA</w:t>
            </w:r>
            <w:r>
              <w:rPr>
                <w:rFonts w:ascii="宋体" w:hAnsi="宋体" w:cs="宋体"/>
              </w:rPr>
              <w:t>B</w:t>
            </w:r>
            <w:r>
              <w:rPr>
                <w:rFonts w:ascii="宋体" w:hAnsi="宋体" w:cs="宋体" w:hint="eastAsia"/>
              </w:rPr>
              <w:t>产品，另外公司从美国Synergy公司引进了普卡那肽</w:t>
            </w:r>
            <w:r>
              <w:rPr>
                <w:rFonts w:ascii="宋体" w:hAnsi="宋体" w:cs="宋体"/>
              </w:rPr>
              <w:t>，</w:t>
            </w:r>
            <w:proofErr w:type="gramStart"/>
            <w:r>
              <w:rPr>
                <w:rFonts w:ascii="宋体" w:hAnsi="宋体" w:cs="宋体"/>
              </w:rPr>
              <w:t>且以上</w:t>
            </w:r>
            <w:proofErr w:type="gramEnd"/>
            <w:r>
              <w:rPr>
                <w:rFonts w:ascii="宋体" w:hAnsi="宋体" w:cs="宋体"/>
              </w:rPr>
              <w:t>引进品种均已在国外上市。</w:t>
            </w:r>
            <w:r>
              <w:rPr>
                <w:rFonts w:ascii="宋体" w:hAnsi="宋体" w:cs="宋体" w:hint="eastAsia"/>
              </w:rPr>
              <w:t>公司</w:t>
            </w:r>
            <w:r>
              <w:rPr>
                <w:rFonts w:ascii="宋体" w:hAnsi="宋体" w:cs="宋体"/>
              </w:rPr>
              <w:t>在</w:t>
            </w:r>
            <w:r>
              <w:rPr>
                <w:rFonts w:ascii="宋体" w:hAnsi="宋体" w:cs="宋体" w:hint="eastAsia"/>
              </w:rPr>
              <w:t>上述化合物临床</w:t>
            </w:r>
            <w:r>
              <w:rPr>
                <w:rFonts w:ascii="宋体" w:hAnsi="宋体" w:cs="宋体"/>
              </w:rPr>
              <w:t>二、三期阶段即已展开与</w:t>
            </w:r>
            <w:r>
              <w:rPr>
                <w:rFonts w:ascii="宋体" w:hAnsi="宋体" w:cs="宋体" w:hint="eastAsia"/>
              </w:rPr>
              <w:t>合作方</w:t>
            </w:r>
            <w:r>
              <w:rPr>
                <w:rFonts w:ascii="宋体" w:hAnsi="宋体" w:cs="宋体"/>
              </w:rPr>
              <w:t>沟通合作，此外</w:t>
            </w:r>
            <w:r>
              <w:rPr>
                <w:rFonts w:ascii="宋体" w:hAnsi="宋体" w:cs="宋体" w:hint="eastAsia"/>
              </w:rPr>
              <w:t>公司还</w:t>
            </w:r>
            <w:r>
              <w:rPr>
                <w:rFonts w:ascii="宋体" w:hAnsi="宋体" w:cs="宋体"/>
              </w:rPr>
              <w:t>借助自身营销渠道及临床医学团队优势，</w:t>
            </w:r>
            <w:r>
              <w:rPr>
                <w:rFonts w:ascii="宋体" w:hAnsi="宋体" w:cs="宋体" w:hint="eastAsia"/>
              </w:rPr>
              <w:t>进而</w:t>
            </w:r>
            <w:r>
              <w:rPr>
                <w:rFonts w:ascii="宋体" w:hAnsi="宋体" w:cs="宋体"/>
              </w:rPr>
              <w:t>提高</w:t>
            </w:r>
            <w:r>
              <w:rPr>
                <w:rFonts w:ascii="宋体" w:hAnsi="宋体" w:cs="宋体" w:hint="eastAsia"/>
              </w:rPr>
              <w:t>引进产品在</w:t>
            </w:r>
            <w:r>
              <w:rPr>
                <w:rFonts w:ascii="宋体" w:hAnsi="宋体" w:cs="宋体"/>
              </w:rPr>
              <w:t>中国上市的成功率及产业化转化效率。</w:t>
            </w:r>
          </w:p>
        </w:tc>
      </w:tr>
      <w:tr w:rsidR="007A550C">
        <w:tc>
          <w:tcPr>
            <w:tcW w:w="1908" w:type="dxa"/>
            <w:shd w:val="clear" w:color="auto" w:fill="auto"/>
            <w:vAlign w:val="center"/>
          </w:tcPr>
          <w:p w:rsidR="007A550C" w:rsidRDefault="00700D5E">
            <w:pPr>
              <w:spacing w:line="480" w:lineRule="atLeast"/>
              <w:rPr>
                <w:rFonts w:ascii="宋体" w:hAnsi="宋体"/>
                <w:b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iCs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614" w:type="dxa"/>
            <w:shd w:val="clear" w:color="auto" w:fill="auto"/>
          </w:tcPr>
          <w:p w:rsidR="007A550C" w:rsidRDefault="00700D5E">
            <w:pPr>
              <w:spacing w:line="480" w:lineRule="atLeast"/>
              <w:rPr>
                <w:rFonts w:ascii="宋体" w:hAnsi="宋体"/>
                <w:bCs/>
                <w:i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sz w:val="24"/>
                <w:szCs w:val="24"/>
              </w:rPr>
              <w:t>无</w:t>
            </w:r>
          </w:p>
        </w:tc>
      </w:tr>
    </w:tbl>
    <w:p w:rsidR="007A550C" w:rsidRDefault="007A550C" w:rsidP="00612C49">
      <w:pPr>
        <w:widowControl/>
        <w:jc w:val="left"/>
        <w:rPr>
          <w:sz w:val="24"/>
          <w:szCs w:val="24"/>
        </w:rPr>
      </w:pPr>
    </w:p>
    <w:sectPr w:rsidR="007A550C" w:rsidSect="001E3AA4">
      <w:footerReference w:type="default" r:id="rId9"/>
      <w:pgSz w:w="11906" w:h="16838"/>
      <w:pgMar w:top="1440" w:right="1797" w:bottom="1276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CF1" w:rsidRDefault="00107CF1" w:rsidP="00B042CB">
      <w:r>
        <w:separator/>
      </w:r>
    </w:p>
  </w:endnote>
  <w:endnote w:type="continuationSeparator" w:id="0">
    <w:p w:rsidR="00107CF1" w:rsidRDefault="00107CF1" w:rsidP="00B0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6455533"/>
      <w:docPartObj>
        <w:docPartGallery w:val="Page Numbers (Bottom of Page)"/>
        <w:docPartUnique/>
      </w:docPartObj>
    </w:sdtPr>
    <w:sdtEndPr/>
    <w:sdtContent>
      <w:p w:rsidR="00B042CB" w:rsidRDefault="00B042CB" w:rsidP="00B042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AA4" w:rsidRPr="001E3AA4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CF1" w:rsidRDefault="00107CF1" w:rsidP="00B042CB">
      <w:r>
        <w:separator/>
      </w:r>
    </w:p>
  </w:footnote>
  <w:footnote w:type="continuationSeparator" w:id="0">
    <w:p w:rsidR="00107CF1" w:rsidRDefault="00107CF1" w:rsidP="00B04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0C"/>
    <w:rsid w:val="000306B8"/>
    <w:rsid w:val="00105148"/>
    <w:rsid w:val="00107CF1"/>
    <w:rsid w:val="00174EE4"/>
    <w:rsid w:val="001E3AA4"/>
    <w:rsid w:val="002020D0"/>
    <w:rsid w:val="00477663"/>
    <w:rsid w:val="004D024D"/>
    <w:rsid w:val="00583F54"/>
    <w:rsid w:val="00612C49"/>
    <w:rsid w:val="006D00C7"/>
    <w:rsid w:val="00700D5E"/>
    <w:rsid w:val="00767E71"/>
    <w:rsid w:val="00793C9A"/>
    <w:rsid w:val="007A550C"/>
    <w:rsid w:val="00810025"/>
    <w:rsid w:val="00857B93"/>
    <w:rsid w:val="0092257C"/>
    <w:rsid w:val="009672A8"/>
    <w:rsid w:val="009F0A00"/>
    <w:rsid w:val="00AA5C2B"/>
    <w:rsid w:val="00B042CB"/>
    <w:rsid w:val="00BD0261"/>
    <w:rsid w:val="00C152EE"/>
    <w:rsid w:val="00DB2956"/>
    <w:rsid w:val="00DE61E7"/>
    <w:rsid w:val="00E02C1E"/>
    <w:rsid w:val="00E12DC3"/>
    <w:rsid w:val="00EC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 w:cs="宋体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</w:rPr>
  </w:style>
  <w:style w:type="paragraph" w:styleId="a4">
    <w:name w:val="Balloon Text"/>
    <w:basedOn w:val="a"/>
    <w:link w:val="Char"/>
    <w:uiPriority w:val="99"/>
    <w:qFormat/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rPr>
      <w:sz w:val="28"/>
    </w:rPr>
  </w:style>
  <w:style w:type="paragraph" w:styleId="20">
    <w:name w:val="toc 2"/>
    <w:basedOn w:val="a"/>
    <w:next w:val="a"/>
    <w:uiPriority w:val="39"/>
    <w:qFormat/>
    <w:pPr>
      <w:ind w:leftChars="200" w:left="420"/>
    </w:pPr>
    <w:rPr>
      <w:sz w:val="2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 w:line="360" w:lineRule="auto"/>
      <w:jc w:val="left"/>
    </w:pPr>
    <w:rPr>
      <w:rFonts w:ascii="Arial Unicode MS" w:eastAsia="Arial Unicode MS" w:hAnsi="Arial Unicode MS" w:cs="Arial Unicode MS"/>
      <w:kern w:val="0"/>
      <w:sz w:val="18"/>
      <w:szCs w:val="18"/>
    </w:rPr>
  </w:style>
  <w:style w:type="character" w:styleId="a8">
    <w:name w:val="Hyperlink"/>
    <w:basedOn w:val="a0"/>
    <w:uiPriority w:val="99"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="Cambria" w:eastAsia="宋体" w:hAnsi="Cambria" w:cs="宋体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rFonts w:ascii="Times New Roman" w:eastAsia="宋体" w:hAnsi="Times New Roman" w:cs="Times New Roman"/>
      <w:b/>
      <w:bCs/>
      <w:sz w:val="32"/>
      <w:szCs w:val="32"/>
    </w:rPr>
  </w:style>
  <w:style w:type="paragraph" w:styleId="a9">
    <w:name w:val="No Spacing"/>
    <w:link w:val="Char2"/>
    <w:uiPriority w:val="1"/>
    <w:qFormat/>
    <w:rPr>
      <w:sz w:val="22"/>
      <w:szCs w:val="22"/>
    </w:rPr>
  </w:style>
  <w:style w:type="character" w:customStyle="1" w:styleId="Char2">
    <w:name w:val="无间隔 Char"/>
    <w:basedOn w:val="a0"/>
    <w:link w:val="a9"/>
    <w:uiPriority w:val="1"/>
    <w:rPr>
      <w:kern w:val="0"/>
      <w:sz w:val="22"/>
    </w:rPr>
  </w:style>
  <w:style w:type="character" w:customStyle="1" w:styleId="Char">
    <w:name w:val="批注框文本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TOC1">
    <w:name w:val="TOC 标题1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 w:cs="宋体"/>
      <w:color w:val="365F91"/>
      <w:kern w:val="0"/>
      <w:sz w:val="28"/>
      <w:szCs w:val="28"/>
    </w:rPr>
  </w:style>
  <w:style w:type="character" w:customStyle="1" w:styleId="Char1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styleId="aa">
    <w:name w:val="annotation reference"/>
    <w:basedOn w:val="a0"/>
    <w:uiPriority w:val="99"/>
    <w:rPr>
      <w:sz w:val="21"/>
      <w:szCs w:val="21"/>
    </w:rPr>
  </w:style>
  <w:style w:type="paragraph" w:styleId="ab">
    <w:name w:val="annotation text"/>
    <w:basedOn w:val="a"/>
    <w:link w:val="Char3"/>
    <w:uiPriority w:val="99"/>
    <w:pPr>
      <w:jc w:val="left"/>
    </w:pPr>
  </w:style>
  <w:style w:type="character" w:customStyle="1" w:styleId="Char3">
    <w:name w:val="批注文字 Char"/>
    <w:basedOn w:val="a0"/>
    <w:link w:val="ab"/>
    <w:uiPriority w:val="99"/>
    <w:rPr>
      <w:rFonts w:ascii="Times New Roman" w:eastAsia="宋体" w:hAnsi="Times New Roman" w:cs="Times New Roman"/>
      <w:kern w:val="2"/>
      <w:sz w:val="21"/>
    </w:rPr>
  </w:style>
  <w:style w:type="paragraph" w:styleId="ac">
    <w:name w:val="annotation subject"/>
    <w:basedOn w:val="ab"/>
    <w:next w:val="ab"/>
    <w:link w:val="Char4"/>
    <w:uiPriority w:val="99"/>
    <w:rPr>
      <w:b/>
      <w:bCs/>
    </w:rPr>
  </w:style>
  <w:style w:type="character" w:customStyle="1" w:styleId="Char4">
    <w:name w:val="批注主题 Char"/>
    <w:basedOn w:val="Char3"/>
    <w:link w:val="ac"/>
    <w:uiPriority w:val="99"/>
    <w:rPr>
      <w:rFonts w:ascii="Times New Roman" w:eastAsia="宋体" w:hAnsi="Times New Roman" w:cs="Times New Roman"/>
      <w:b/>
      <w:bCs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 w:cs="宋体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</w:rPr>
  </w:style>
  <w:style w:type="paragraph" w:styleId="a4">
    <w:name w:val="Balloon Text"/>
    <w:basedOn w:val="a"/>
    <w:link w:val="Char"/>
    <w:uiPriority w:val="99"/>
    <w:qFormat/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rPr>
      <w:sz w:val="28"/>
    </w:rPr>
  </w:style>
  <w:style w:type="paragraph" w:styleId="20">
    <w:name w:val="toc 2"/>
    <w:basedOn w:val="a"/>
    <w:next w:val="a"/>
    <w:uiPriority w:val="39"/>
    <w:qFormat/>
    <w:pPr>
      <w:ind w:leftChars="200" w:left="420"/>
    </w:pPr>
    <w:rPr>
      <w:sz w:val="2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 w:line="360" w:lineRule="auto"/>
      <w:jc w:val="left"/>
    </w:pPr>
    <w:rPr>
      <w:rFonts w:ascii="Arial Unicode MS" w:eastAsia="Arial Unicode MS" w:hAnsi="Arial Unicode MS" w:cs="Arial Unicode MS"/>
      <w:kern w:val="0"/>
      <w:sz w:val="18"/>
      <w:szCs w:val="18"/>
    </w:rPr>
  </w:style>
  <w:style w:type="character" w:styleId="a8">
    <w:name w:val="Hyperlink"/>
    <w:basedOn w:val="a0"/>
    <w:uiPriority w:val="99"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="Cambria" w:eastAsia="宋体" w:hAnsi="Cambria" w:cs="宋体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rFonts w:ascii="Times New Roman" w:eastAsia="宋体" w:hAnsi="Times New Roman" w:cs="Times New Roman"/>
      <w:b/>
      <w:bCs/>
      <w:sz w:val="32"/>
      <w:szCs w:val="32"/>
    </w:rPr>
  </w:style>
  <w:style w:type="paragraph" w:styleId="a9">
    <w:name w:val="No Spacing"/>
    <w:link w:val="Char2"/>
    <w:uiPriority w:val="1"/>
    <w:qFormat/>
    <w:rPr>
      <w:sz w:val="22"/>
      <w:szCs w:val="22"/>
    </w:rPr>
  </w:style>
  <w:style w:type="character" w:customStyle="1" w:styleId="Char2">
    <w:name w:val="无间隔 Char"/>
    <w:basedOn w:val="a0"/>
    <w:link w:val="a9"/>
    <w:uiPriority w:val="1"/>
    <w:rPr>
      <w:kern w:val="0"/>
      <w:sz w:val="22"/>
    </w:rPr>
  </w:style>
  <w:style w:type="character" w:customStyle="1" w:styleId="Char">
    <w:name w:val="批注框文本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TOC1">
    <w:name w:val="TOC 标题1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 w:cs="宋体"/>
      <w:color w:val="365F91"/>
      <w:kern w:val="0"/>
      <w:sz w:val="28"/>
      <w:szCs w:val="28"/>
    </w:rPr>
  </w:style>
  <w:style w:type="character" w:customStyle="1" w:styleId="Char1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styleId="aa">
    <w:name w:val="annotation reference"/>
    <w:basedOn w:val="a0"/>
    <w:uiPriority w:val="99"/>
    <w:rPr>
      <w:sz w:val="21"/>
      <w:szCs w:val="21"/>
    </w:rPr>
  </w:style>
  <w:style w:type="paragraph" w:styleId="ab">
    <w:name w:val="annotation text"/>
    <w:basedOn w:val="a"/>
    <w:link w:val="Char3"/>
    <w:uiPriority w:val="99"/>
    <w:pPr>
      <w:jc w:val="left"/>
    </w:pPr>
  </w:style>
  <w:style w:type="character" w:customStyle="1" w:styleId="Char3">
    <w:name w:val="批注文字 Char"/>
    <w:basedOn w:val="a0"/>
    <w:link w:val="ab"/>
    <w:uiPriority w:val="99"/>
    <w:rPr>
      <w:rFonts w:ascii="Times New Roman" w:eastAsia="宋体" w:hAnsi="Times New Roman" w:cs="Times New Roman"/>
      <w:kern w:val="2"/>
      <w:sz w:val="21"/>
    </w:rPr>
  </w:style>
  <w:style w:type="paragraph" w:styleId="ac">
    <w:name w:val="annotation subject"/>
    <w:basedOn w:val="ab"/>
    <w:next w:val="ab"/>
    <w:link w:val="Char4"/>
    <w:uiPriority w:val="99"/>
    <w:rPr>
      <w:b/>
      <w:bCs/>
    </w:rPr>
  </w:style>
  <w:style w:type="character" w:customStyle="1" w:styleId="Char4">
    <w:name w:val="批注主题 Char"/>
    <w:basedOn w:val="Char3"/>
    <w:link w:val="ac"/>
    <w:uiPriority w:val="99"/>
    <w:rPr>
      <w:rFonts w:ascii="Times New Roman" w:eastAsia="宋体" w:hAnsi="Times New Roman" w:cs="Times New Roman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66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93421C-62AA-4507-A90A-040F803C0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311</Words>
  <Characters>1775</Characters>
  <Application>Microsoft Office Word</Application>
  <DocSecurity>0</DocSecurity>
  <Lines>14</Lines>
  <Paragraphs>4</Paragraphs>
  <ScaleCrop>false</ScaleCrop>
  <Company>Microsoft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王忻[xinwang]</dc:creator>
  <cp:lastModifiedBy>DEB</cp:lastModifiedBy>
  <cp:revision>25</cp:revision>
  <cp:lastPrinted>2020-06-05T09:30:00Z</cp:lastPrinted>
  <dcterms:created xsi:type="dcterms:W3CDTF">2016-07-06T06:37:00Z</dcterms:created>
  <dcterms:modified xsi:type="dcterms:W3CDTF">2020-06-17T10:05:00Z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