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00" w:lineRule="exact"/>
        <w:rPr>
          <w:rFonts w:ascii="宋体" w:hAnsi="宋体"/>
          <w:bCs/>
          <w:iCs/>
          <w:color w:val="000000"/>
          <w:sz w:val="24"/>
        </w:rPr>
      </w:pPr>
      <w:r>
        <w:rPr>
          <w:rFonts w:hint="eastAsia" w:ascii="宋体" w:hAnsi="宋体"/>
          <w:bCs/>
          <w:iCs/>
          <w:color w:val="000000"/>
          <w:sz w:val="24"/>
        </w:rPr>
        <w:t>证券代码</w:t>
      </w:r>
      <w:r>
        <w:rPr>
          <w:bCs/>
          <w:iCs/>
          <w:color w:val="000000"/>
          <w:sz w:val="24"/>
        </w:rPr>
        <w:t xml:space="preserve">：002497  </w:t>
      </w:r>
      <w:r>
        <w:rPr>
          <w:rFonts w:hint="eastAsia" w:ascii="宋体" w:hAnsi="宋体"/>
          <w:bCs/>
          <w:iCs/>
          <w:color w:val="000000"/>
          <w:sz w:val="24"/>
        </w:rPr>
        <w:t xml:space="preserve">                                证券简称：雅化集团</w:t>
      </w:r>
    </w:p>
    <w:p>
      <w:pPr>
        <w:spacing w:before="156" w:beforeLines="50" w:after="156" w:afterLines="50" w:line="400" w:lineRule="exact"/>
        <w:ind w:firstLine="540" w:firstLineChars="300"/>
        <w:rPr>
          <w:rFonts w:ascii="宋体" w:hAnsi="宋体"/>
          <w:bCs/>
          <w:iCs/>
          <w:color w:val="000000"/>
          <w:sz w:val="18"/>
          <w:szCs w:val="18"/>
        </w:rPr>
      </w:pPr>
    </w:p>
    <w:p>
      <w:pPr>
        <w:spacing w:before="156" w:beforeLines="50" w:after="156" w:afterLines="50" w:line="400" w:lineRule="exact"/>
        <w:ind w:left="-178" w:leftChars="-85"/>
        <w:jc w:val="center"/>
        <w:rPr>
          <w:rFonts w:ascii="宋体" w:hAnsi="宋体"/>
          <w:b/>
          <w:bCs/>
          <w:iCs/>
          <w:color w:val="000000"/>
          <w:sz w:val="32"/>
          <w:szCs w:val="32"/>
        </w:rPr>
      </w:pPr>
      <w:r>
        <w:rPr>
          <w:rFonts w:hint="eastAsia" w:ascii="宋体" w:hAnsi="宋体"/>
          <w:b/>
          <w:bCs/>
          <w:iCs/>
          <w:color w:val="000000"/>
          <w:sz w:val="32"/>
          <w:szCs w:val="32"/>
        </w:rPr>
        <w:t>四川雅化实业集团股份有限公司投资者关系活动记录表</w:t>
      </w:r>
    </w:p>
    <w:p>
      <w:pPr>
        <w:spacing w:line="400" w:lineRule="exact"/>
        <w:rPr>
          <w:rFonts w:ascii="宋体" w:hAnsi="宋体"/>
          <w:bCs/>
          <w:iCs/>
          <w:color w:val="000000"/>
          <w:sz w:val="24"/>
        </w:rPr>
      </w:pPr>
      <w:r>
        <w:rPr>
          <w:rFonts w:hint="eastAsia" w:ascii="宋体" w:hAnsi="宋体"/>
          <w:bCs/>
          <w:iCs/>
          <w:color w:val="000000"/>
          <w:sz w:val="24"/>
        </w:rPr>
        <w:t xml:space="preserve">                                                        编号：</w:t>
      </w:r>
      <w:r>
        <w:rPr>
          <w:rFonts w:hint="eastAsia"/>
          <w:bCs/>
          <w:iCs/>
          <w:color w:val="000000"/>
          <w:sz w:val="24"/>
        </w:rPr>
        <w:t>20200616</w:t>
      </w:r>
    </w:p>
    <w:tbl>
      <w:tblPr>
        <w:tblStyle w:val="5"/>
        <w:tblW w:w="10275"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9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5" w:hRule="atLeast"/>
        </w:trPr>
        <w:tc>
          <w:tcPr>
            <w:tcW w:w="1262" w:type="dxa"/>
            <w:tcBorders>
              <w:top w:val="single" w:color="auto" w:sz="4" w:space="0"/>
              <w:left w:val="single" w:color="auto" w:sz="4" w:space="0"/>
              <w:bottom w:val="single" w:color="auto" w:sz="4" w:space="0"/>
              <w:right w:val="single" w:color="auto" w:sz="4" w:space="0"/>
            </w:tcBorders>
            <w:vAlign w:val="center"/>
          </w:tcPr>
          <w:p>
            <w:pPr>
              <w:spacing w:line="480" w:lineRule="atLeast"/>
              <w:jc w:val="center"/>
              <w:rPr>
                <w:rFonts w:ascii="宋体" w:hAnsi="宋体"/>
                <w:b/>
                <w:bCs/>
                <w:iCs/>
                <w:color w:val="000000"/>
                <w:sz w:val="24"/>
              </w:rPr>
            </w:pPr>
            <w:r>
              <w:rPr>
                <w:rFonts w:hint="eastAsia" w:ascii="宋体" w:hAnsi="宋体"/>
                <w:b/>
                <w:bCs/>
                <w:iCs/>
                <w:color w:val="000000"/>
                <w:sz w:val="24"/>
              </w:rPr>
              <w:t>投资者关系活动类别</w:t>
            </w:r>
          </w:p>
        </w:tc>
        <w:tc>
          <w:tcPr>
            <w:tcW w:w="9013" w:type="dxa"/>
            <w:tcBorders>
              <w:top w:val="single" w:color="auto" w:sz="4" w:space="0"/>
              <w:left w:val="single" w:color="auto" w:sz="4" w:space="0"/>
              <w:bottom w:val="single" w:color="auto" w:sz="4" w:space="0"/>
              <w:right w:val="single" w:color="auto" w:sz="4" w:space="0"/>
            </w:tcBorders>
            <w:vAlign w:val="center"/>
          </w:tcPr>
          <w:p>
            <w:pPr>
              <w:spacing w:line="480" w:lineRule="atLeast"/>
              <w:rPr>
                <w:color w:val="000000"/>
                <w:sz w:val="24"/>
              </w:rPr>
            </w:pPr>
            <w:r>
              <w:rPr>
                <w:rFonts w:hint="eastAsia" w:ascii="宋体" w:hAnsi="宋体"/>
                <w:color w:val="000000"/>
                <w:sz w:val="24"/>
              </w:rPr>
              <w:t>√</w:t>
            </w:r>
            <w:r>
              <w:rPr>
                <w:rFonts w:hint="eastAsia"/>
                <w:color w:val="000000"/>
                <w:sz w:val="24"/>
              </w:rPr>
              <w:t>特定对象调研        □分析师会议</w:t>
            </w:r>
          </w:p>
          <w:p>
            <w:pPr>
              <w:spacing w:line="480" w:lineRule="atLeast"/>
              <w:rPr>
                <w:color w:val="000000"/>
                <w:sz w:val="24"/>
              </w:rPr>
            </w:pPr>
            <w:r>
              <w:rPr>
                <w:rFonts w:hint="eastAsia"/>
                <w:color w:val="000000"/>
                <w:sz w:val="24"/>
              </w:rPr>
              <w:t>□媒体采访            □业绩说明会</w:t>
            </w:r>
          </w:p>
          <w:p>
            <w:pPr>
              <w:spacing w:line="480" w:lineRule="atLeast"/>
              <w:rPr>
                <w:color w:val="000000"/>
                <w:sz w:val="24"/>
              </w:rPr>
            </w:pPr>
            <w:r>
              <w:rPr>
                <w:rFonts w:hint="eastAsia"/>
                <w:color w:val="000000"/>
                <w:sz w:val="24"/>
              </w:rPr>
              <w:t>□新闻发布会          □路演活动</w:t>
            </w:r>
          </w:p>
          <w:p>
            <w:pPr>
              <w:tabs>
                <w:tab w:val="left" w:pos="3045"/>
                <w:tab w:val="center" w:pos="3199"/>
              </w:tabs>
              <w:spacing w:line="480" w:lineRule="atLeast"/>
              <w:rPr>
                <w:color w:val="000000"/>
                <w:sz w:val="24"/>
              </w:rPr>
            </w:pPr>
            <w:r>
              <w:rPr>
                <w:rFonts w:hint="eastAsia"/>
                <w:color w:val="000000"/>
                <w:sz w:val="24"/>
              </w:rPr>
              <w:t>□现场参观</w:t>
            </w:r>
            <w:r>
              <w:rPr>
                <w:rFonts w:hint="eastAsia"/>
                <w:color w:val="000000"/>
                <w:sz w:val="24"/>
              </w:rPr>
              <w:tab/>
            </w:r>
          </w:p>
          <w:p>
            <w:pPr>
              <w:tabs>
                <w:tab w:val="center" w:pos="3199"/>
              </w:tabs>
              <w:spacing w:line="480" w:lineRule="atLeast"/>
              <w:rPr>
                <w:sz w:val="24"/>
              </w:rPr>
            </w:pPr>
            <w:r>
              <w:rPr>
                <w:rFonts w:hint="eastAsia"/>
                <w:color w:val="000000"/>
                <w:sz w:val="24"/>
              </w:rPr>
              <w:t>□其他 （请文字说明其他活动内容）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8" w:hRule="atLeast"/>
        </w:trPr>
        <w:tc>
          <w:tcPr>
            <w:tcW w:w="1262" w:type="dxa"/>
            <w:tcBorders>
              <w:top w:val="single" w:color="auto" w:sz="4" w:space="0"/>
              <w:left w:val="single" w:color="auto" w:sz="4" w:space="0"/>
              <w:bottom w:val="single" w:color="auto" w:sz="4" w:space="0"/>
              <w:right w:val="single" w:color="auto" w:sz="4" w:space="0"/>
            </w:tcBorders>
            <w:vAlign w:val="center"/>
          </w:tcPr>
          <w:p>
            <w:pPr>
              <w:spacing w:line="480" w:lineRule="atLeast"/>
              <w:jc w:val="center"/>
              <w:rPr>
                <w:rFonts w:ascii="宋体" w:hAnsi="宋体"/>
                <w:b/>
                <w:bCs/>
                <w:iCs/>
                <w:color w:val="000000"/>
                <w:sz w:val="24"/>
              </w:rPr>
            </w:pPr>
            <w:r>
              <w:rPr>
                <w:rFonts w:hint="eastAsia" w:ascii="宋体" w:hAnsi="宋体"/>
                <w:b/>
                <w:bCs/>
                <w:iCs/>
                <w:color w:val="000000"/>
                <w:sz w:val="24"/>
              </w:rPr>
              <w:t>参与单位名称及人员姓名</w:t>
            </w:r>
          </w:p>
        </w:tc>
        <w:tc>
          <w:tcPr>
            <w:tcW w:w="9013" w:type="dxa"/>
            <w:tcBorders>
              <w:top w:val="single" w:color="auto" w:sz="4" w:space="0"/>
              <w:left w:val="single" w:color="auto" w:sz="4" w:space="0"/>
              <w:bottom w:val="single" w:color="auto" w:sz="4" w:space="0"/>
              <w:right w:val="single" w:color="auto" w:sz="4" w:space="0"/>
            </w:tcBorders>
            <w:vAlign w:val="center"/>
          </w:tcPr>
          <w:p>
            <w:pPr>
              <w:spacing w:line="480" w:lineRule="atLeast"/>
              <w:rPr>
                <w:rFonts w:hint="eastAsia"/>
                <w:color w:val="000000"/>
                <w:sz w:val="24"/>
              </w:rPr>
            </w:pPr>
            <w:r>
              <w:rPr>
                <w:rFonts w:hint="eastAsia"/>
                <w:color w:val="000000"/>
                <w:sz w:val="24"/>
              </w:rPr>
              <w:t>川财证券：白竣天、许惠敏、张天楠、黄博</w:t>
            </w:r>
          </w:p>
          <w:p>
            <w:pPr>
              <w:spacing w:line="480" w:lineRule="atLeast"/>
              <w:rPr>
                <w:color w:val="000000"/>
                <w:sz w:val="24"/>
              </w:rPr>
            </w:pPr>
            <w:r>
              <w:rPr>
                <w:rFonts w:hint="eastAsia"/>
                <w:color w:val="000000"/>
                <w:sz w:val="24"/>
              </w:rPr>
              <w:t>汇丰晋信基金：姬静远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1262" w:type="dxa"/>
            <w:tcBorders>
              <w:top w:val="single" w:color="auto" w:sz="4" w:space="0"/>
              <w:left w:val="single" w:color="auto" w:sz="4" w:space="0"/>
              <w:bottom w:val="single" w:color="auto" w:sz="4" w:space="0"/>
              <w:right w:val="single" w:color="auto" w:sz="4" w:space="0"/>
            </w:tcBorders>
            <w:vAlign w:val="center"/>
          </w:tcPr>
          <w:p>
            <w:pPr>
              <w:spacing w:line="480" w:lineRule="atLeast"/>
              <w:jc w:val="center"/>
              <w:rPr>
                <w:rFonts w:ascii="宋体" w:hAnsi="宋体"/>
                <w:b/>
                <w:bCs/>
                <w:iCs/>
                <w:color w:val="000000"/>
                <w:sz w:val="24"/>
              </w:rPr>
            </w:pPr>
            <w:r>
              <w:rPr>
                <w:rFonts w:hint="eastAsia" w:ascii="宋体" w:hAnsi="宋体"/>
                <w:b/>
                <w:bCs/>
                <w:iCs/>
                <w:color w:val="000000"/>
                <w:sz w:val="24"/>
              </w:rPr>
              <w:t>时间</w:t>
            </w:r>
          </w:p>
        </w:tc>
        <w:tc>
          <w:tcPr>
            <w:tcW w:w="9013" w:type="dxa"/>
            <w:tcBorders>
              <w:top w:val="single" w:color="auto" w:sz="4" w:space="0"/>
              <w:left w:val="single" w:color="auto" w:sz="4" w:space="0"/>
              <w:bottom w:val="single" w:color="auto" w:sz="4" w:space="0"/>
              <w:right w:val="single" w:color="auto" w:sz="4" w:space="0"/>
            </w:tcBorders>
            <w:vAlign w:val="center"/>
          </w:tcPr>
          <w:p>
            <w:pPr>
              <w:spacing w:line="480" w:lineRule="atLeast"/>
              <w:jc w:val="left"/>
              <w:rPr>
                <w:color w:val="000000"/>
                <w:sz w:val="24"/>
              </w:rPr>
            </w:pPr>
            <w:r>
              <w:rPr>
                <w:rFonts w:hint="eastAsia"/>
                <w:color w:val="000000"/>
                <w:sz w:val="24"/>
              </w:rPr>
              <w:t>2020</w:t>
            </w:r>
            <w:r>
              <w:rPr>
                <w:color w:val="000000"/>
                <w:sz w:val="24"/>
              </w:rPr>
              <w:t>年</w:t>
            </w:r>
            <w:r>
              <w:rPr>
                <w:rFonts w:hint="eastAsia"/>
                <w:color w:val="000000"/>
                <w:sz w:val="24"/>
              </w:rPr>
              <w:t>6</w:t>
            </w:r>
            <w:r>
              <w:rPr>
                <w:color w:val="000000"/>
                <w:sz w:val="24"/>
              </w:rPr>
              <w:t>月</w:t>
            </w:r>
            <w:r>
              <w:rPr>
                <w:rFonts w:hint="eastAsia"/>
                <w:color w:val="000000"/>
                <w:sz w:val="24"/>
              </w:rPr>
              <w:t>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127" w:hRule="atLeast"/>
        </w:trPr>
        <w:tc>
          <w:tcPr>
            <w:tcW w:w="1262" w:type="dxa"/>
            <w:tcBorders>
              <w:top w:val="single" w:color="auto" w:sz="4" w:space="0"/>
              <w:left w:val="single" w:color="auto" w:sz="4" w:space="0"/>
              <w:bottom w:val="single" w:color="auto" w:sz="4" w:space="0"/>
              <w:right w:val="single" w:color="auto" w:sz="4" w:space="0"/>
            </w:tcBorders>
            <w:vAlign w:val="center"/>
          </w:tcPr>
          <w:p>
            <w:pPr>
              <w:spacing w:line="480" w:lineRule="atLeast"/>
              <w:jc w:val="center"/>
              <w:rPr>
                <w:rFonts w:ascii="宋体" w:hAnsi="宋体"/>
                <w:b/>
                <w:bCs/>
                <w:iCs/>
                <w:color w:val="000000"/>
                <w:sz w:val="24"/>
              </w:rPr>
            </w:pPr>
            <w:r>
              <w:rPr>
                <w:rFonts w:hint="eastAsia" w:ascii="宋体" w:hAnsi="宋体"/>
                <w:b/>
                <w:bCs/>
                <w:iCs/>
                <w:color w:val="000000"/>
                <w:sz w:val="24"/>
              </w:rPr>
              <w:t>地点</w:t>
            </w:r>
          </w:p>
        </w:tc>
        <w:tc>
          <w:tcPr>
            <w:tcW w:w="9013" w:type="dxa"/>
            <w:tcBorders>
              <w:top w:val="single" w:color="auto" w:sz="4" w:space="0"/>
              <w:left w:val="single" w:color="auto" w:sz="4" w:space="0"/>
              <w:bottom w:val="single" w:color="auto" w:sz="4" w:space="0"/>
              <w:right w:val="single" w:color="auto" w:sz="4" w:space="0"/>
            </w:tcBorders>
            <w:vAlign w:val="center"/>
          </w:tcPr>
          <w:p>
            <w:pPr>
              <w:spacing w:line="480" w:lineRule="atLeast"/>
              <w:jc w:val="left"/>
              <w:rPr>
                <w:color w:val="000000"/>
                <w:sz w:val="24"/>
              </w:rPr>
            </w:pPr>
            <w:r>
              <w:rPr>
                <w:rFonts w:hint="eastAsia"/>
                <w:color w:val="000000"/>
                <w:sz w:val="24"/>
              </w:rPr>
              <w:t>总部23楼会议室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7" w:hRule="atLeast"/>
        </w:trPr>
        <w:tc>
          <w:tcPr>
            <w:tcW w:w="1262" w:type="dxa"/>
            <w:tcBorders>
              <w:top w:val="single" w:color="auto" w:sz="4" w:space="0"/>
              <w:left w:val="single" w:color="auto" w:sz="4" w:space="0"/>
              <w:bottom w:val="single" w:color="auto" w:sz="4" w:space="0"/>
              <w:right w:val="single" w:color="auto" w:sz="4" w:space="0"/>
            </w:tcBorders>
            <w:vAlign w:val="center"/>
          </w:tcPr>
          <w:p>
            <w:pPr>
              <w:spacing w:line="480" w:lineRule="atLeast"/>
              <w:jc w:val="center"/>
              <w:rPr>
                <w:rFonts w:ascii="宋体" w:hAnsi="宋体"/>
                <w:b/>
                <w:bCs/>
                <w:iCs/>
                <w:color w:val="000000"/>
                <w:sz w:val="24"/>
              </w:rPr>
            </w:pPr>
            <w:r>
              <w:rPr>
                <w:rFonts w:hint="eastAsia" w:ascii="宋体" w:hAnsi="宋体"/>
                <w:b/>
                <w:bCs/>
                <w:iCs/>
                <w:color w:val="000000"/>
                <w:sz w:val="24"/>
              </w:rPr>
              <w:t>上市公司接待人员姓名</w:t>
            </w:r>
          </w:p>
        </w:tc>
        <w:tc>
          <w:tcPr>
            <w:tcW w:w="9013" w:type="dxa"/>
            <w:tcBorders>
              <w:top w:val="single" w:color="auto" w:sz="4" w:space="0"/>
              <w:left w:val="single" w:color="auto" w:sz="4" w:space="0"/>
              <w:bottom w:val="single" w:color="auto" w:sz="4" w:space="0"/>
              <w:right w:val="single" w:color="auto" w:sz="4" w:space="0"/>
            </w:tcBorders>
            <w:vAlign w:val="center"/>
          </w:tcPr>
          <w:p>
            <w:pPr>
              <w:spacing w:line="480" w:lineRule="atLeast"/>
              <w:jc w:val="left"/>
              <w:rPr>
                <w:rFonts w:ascii="宋体" w:hAnsi="宋体"/>
                <w:bCs/>
                <w:iCs/>
                <w:color w:val="000000"/>
                <w:kern w:val="0"/>
                <w:sz w:val="24"/>
              </w:rPr>
            </w:pPr>
            <w:r>
              <w:rPr>
                <w:rFonts w:hint="eastAsia" w:ascii="宋体" w:hAnsi="宋体"/>
                <w:bCs/>
                <w:iCs/>
                <w:color w:val="000000"/>
                <w:kern w:val="0"/>
                <w:sz w:val="24"/>
              </w:rPr>
              <w:t>董事会秘书：翟雄鹰</w:t>
            </w:r>
          </w:p>
          <w:p>
            <w:pPr>
              <w:spacing w:line="480" w:lineRule="atLeast"/>
              <w:jc w:val="left"/>
              <w:rPr>
                <w:rFonts w:ascii="宋体" w:hAnsi="宋体"/>
                <w:bCs/>
                <w:iCs/>
                <w:color w:val="000000"/>
                <w:kern w:val="0"/>
                <w:sz w:val="24"/>
              </w:rPr>
            </w:pPr>
            <w:r>
              <w:rPr>
                <w:rFonts w:hint="eastAsia" w:ascii="宋体" w:hAnsi="宋体"/>
                <w:bCs/>
                <w:iCs/>
                <w:color w:val="000000"/>
                <w:kern w:val="0"/>
                <w:sz w:val="24"/>
              </w:rPr>
              <w:t>证券事务代表：郑璐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48" w:hRule="atLeast"/>
        </w:trPr>
        <w:tc>
          <w:tcPr>
            <w:tcW w:w="1262" w:type="dxa"/>
            <w:tcBorders>
              <w:top w:val="single" w:color="auto" w:sz="4" w:space="0"/>
              <w:left w:val="single" w:color="auto" w:sz="4" w:space="0"/>
              <w:right w:val="single" w:color="auto" w:sz="4" w:space="0"/>
            </w:tcBorders>
            <w:vAlign w:val="center"/>
          </w:tcPr>
          <w:p>
            <w:pPr>
              <w:spacing w:line="480" w:lineRule="atLeast"/>
              <w:ind w:firstLine="115" w:firstLineChars="48"/>
              <w:rPr>
                <w:rFonts w:ascii="宋体" w:hAnsi="宋体"/>
                <w:b/>
                <w:bCs/>
                <w:iCs/>
                <w:color w:val="000000"/>
                <w:sz w:val="24"/>
              </w:rPr>
            </w:pPr>
            <w:r>
              <w:rPr>
                <w:rFonts w:hint="eastAsia" w:ascii="宋体" w:hAnsi="宋体"/>
                <w:b/>
                <w:bCs/>
                <w:iCs/>
                <w:color w:val="000000"/>
                <w:sz w:val="24"/>
              </w:rPr>
              <w:t>投资者</w:t>
            </w:r>
          </w:p>
          <w:p>
            <w:pPr>
              <w:spacing w:line="480" w:lineRule="atLeast"/>
              <w:jc w:val="center"/>
              <w:rPr>
                <w:rFonts w:ascii="宋体" w:hAnsi="宋体"/>
                <w:b/>
                <w:bCs/>
                <w:iCs/>
                <w:color w:val="000000"/>
                <w:sz w:val="24"/>
              </w:rPr>
            </w:pPr>
            <w:r>
              <w:rPr>
                <w:rFonts w:hint="eastAsia" w:ascii="宋体" w:hAnsi="宋体"/>
                <w:b/>
                <w:bCs/>
                <w:iCs/>
                <w:color w:val="000000"/>
                <w:sz w:val="24"/>
              </w:rPr>
              <w:t>关系活动主要内容介绍</w:t>
            </w:r>
          </w:p>
        </w:tc>
        <w:tc>
          <w:tcPr>
            <w:tcW w:w="9013" w:type="dxa"/>
            <w:tcBorders>
              <w:top w:val="single" w:color="auto" w:sz="4" w:space="0"/>
              <w:left w:val="single" w:color="auto" w:sz="4" w:space="0"/>
              <w:right w:val="single" w:color="auto" w:sz="4" w:space="0"/>
            </w:tcBorders>
          </w:tcPr>
          <w:p>
            <w:pPr>
              <w:ind w:left="482"/>
              <w:rPr>
                <w:b/>
                <w:color w:val="000000"/>
                <w:kern w:val="0"/>
                <w:sz w:val="24"/>
              </w:rPr>
            </w:pPr>
            <w:r>
              <w:rPr>
                <w:rFonts w:hint="eastAsia"/>
                <w:b/>
                <w:color w:val="000000"/>
                <w:kern w:val="0"/>
                <w:sz w:val="24"/>
              </w:rPr>
              <w:t>一、公司基本情况介绍</w:t>
            </w:r>
          </w:p>
          <w:p>
            <w:pPr>
              <w:ind w:firstLine="480" w:firstLineChars="200"/>
              <w:rPr>
                <w:color w:val="000000"/>
                <w:kern w:val="0"/>
                <w:sz w:val="24"/>
              </w:rPr>
            </w:pPr>
            <w:r>
              <w:rPr>
                <w:rFonts w:hint="eastAsia"/>
                <w:color w:val="000000"/>
                <w:kern w:val="0"/>
                <w:sz w:val="24"/>
              </w:rPr>
              <w:t>公司成立于</w:t>
            </w:r>
            <w:r>
              <w:rPr>
                <w:color w:val="000000"/>
                <w:kern w:val="0"/>
                <w:sz w:val="24"/>
              </w:rPr>
              <w:t>1952</w:t>
            </w:r>
            <w:r>
              <w:rPr>
                <w:rFonts w:hint="eastAsia"/>
                <w:color w:val="000000"/>
                <w:kern w:val="0"/>
                <w:sz w:val="24"/>
              </w:rPr>
              <w:t>年，后来经企业改制、并购扩张、股份制改造，于</w:t>
            </w:r>
            <w:r>
              <w:rPr>
                <w:color w:val="000000"/>
                <w:kern w:val="0"/>
                <w:sz w:val="24"/>
              </w:rPr>
              <w:t>2010</w:t>
            </w:r>
            <w:r>
              <w:rPr>
                <w:rFonts w:hint="eastAsia"/>
                <w:color w:val="000000"/>
                <w:kern w:val="0"/>
                <w:sz w:val="24"/>
              </w:rPr>
              <w:t>年成功登陆中小板，成为四川省唯一一家上市的民爆企业。上市十年来，公司总资产从</w:t>
            </w:r>
            <w:r>
              <w:rPr>
                <w:color w:val="000000"/>
                <w:kern w:val="0"/>
                <w:sz w:val="24"/>
              </w:rPr>
              <w:t>18</w:t>
            </w:r>
            <w:r>
              <w:rPr>
                <w:rFonts w:hint="eastAsia"/>
                <w:color w:val="000000"/>
                <w:kern w:val="0"/>
                <w:sz w:val="24"/>
              </w:rPr>
              <w:t>亿增加至</w:t>
            </w:r>
            <w:r>
              <w:rPr>
                <w:color w:val="000000"/>
                <w:kern w:val="0"/>
                <w:sz w:val="24"/>
              </w:rPr>
              <w:t>52</w:t>
            </w:r>
            <w:r>
              <w:rPr>
                <w:rFonts w:hint="eastAsia"/>
                <w:color w:val="000000"/>
                <w:kern w:val="0"/>
                <w:sz w:val="24"/>
              </w:rPr>
              <w:t>亿元，营业收入从</w:t>
            </w:r>
            <w:r>
              <w:rPr>
                <w:color w:val="000000"/>
                <w:kern w:val="0"/>
                <w:sz w:val="24"/>
              </w:rPr>
              <w:t>7.6</w:t>
            </w:r>
            <w:r>
              <w:rPr>
                <w:rFonts w:hint="eastAsia"/>
                <w:color w:val="000000"/>
                <w:kern w:val="0"/>
                <w:sz w:val="24"/>
              </w:rPr>
              <w:t>亿元增加至</w:t>
            </w:r>
            <w:r>
              <w:rPr>
                <w:color w:val="000000"/>
                <w:kern w:val="0"/>
                <w:sz w:val="24"/>
              </w:rPr>
              <w:t>32</w:t>
            </w:r>
            <w:r>
              <w:rPr>
                <w:rFonts w:hint="eastAsia"/>
                <w:color w:val="000000"/>
                <w:kern w:val="0"/>
                <w:sz w:val="24"/>
              </w:rPr>
              <w:t>亿元。目前公司已形成民爆产业和锂产业双主业联动发展的态势。</w:t>
            </w:r>
          </w:p>
          <w:p>
            <w:pPr>
              <w:ind w:firstLine="480" w:firstLineChars="200"/>
              <w:rPr>
                <w:color w:val="000000"/>
                <w:kern w:val="0"/>
                <w:sz w:val="24"/>
              </w:rPr>
            </w:pPr>
            <w:r>
              <w:rPr>
                <w:rFonts w:hint="eastAsia"/>
                <w:color w:val="000000"/>
                <w:kern w:val="0"/>
                <w:sz w:val="24"/>
              </w:rPr>
              <w:t>民爆产业：通过近年来的前瞻布局，公司在未来民爆需求最旺盛的中西部以及内蒙、山西等区域均有产业与市场布局。在产品销售市场不断拓展的同时，公司还将继续推进爆破业务的可持续发展，不断巩固在民爆产业的领先地位。随着各地重点工程项目的复工、</w:t>
            </w:r>
            <w:r>
              <w:rPr>
                <w:color w:val="000000"/>
                <w:kern w:val="0"/>
                <w:sz w:val="24"/>
              </w:rPr>
              <w:t>2020</w:t>
            </w:r>
            <w:r>
              <w:rPr>
                <w:rFonts w:hint="eastAsia"/>
                <w:color w:val="000000"/>
                <w:kern w:val="0"/>
                <w:sz w:val="24"/>
              </w:rPr>
              <w:t>年省级重点项目名单的下发以及《中共中央关于新时代推进西部大开发形成新格局的指导意见》的出台，为公司民爆产业带来较大的发展机会。</w:t>
            </w:r>
          </w:p>
          <w:p>
            <w:pPr>
              <w:ind w:firstLine="480" w:firstLineChars="200"/>
              <w:rPr>
                <w:color w:val="000000"/>
                <w:kern w:val="0"/>
                <w:sz w:val="24"/>
              </w:rPr>
            </w:pPr>
            <w:r>
              <w:rPr>
                <w:rFonts w:hint="eastAsia"/>
                <w:color w:val="000000"/>
                <w:kern w:val="0"/>
                <w:sz w:val="24"/>
              </w:rPr>
              <w:t>锂产业：公司于</w:t>
            </w:r>
            <w:r>
              <w:rPr>
                <w:color w:val="000000"/>
                <w:kern w:val="0"/>
                <w:sz w:val="24"/>
              </w:rPr>
              <w:t>2013</w:t>
            </w:r>
            <w:r>
              <w:rPr>
                <w:rFonts w:hint="eastAsia"/>
                <w:color w:val="000000"/>
                <w:kern w:val="0"/>
                <w:sz w:val="24"/>
              </w:rPr>
              <w:t>年通过参股国理公司进军锂产业，目前拥有国理公司、兴晟锂业和雅安锂业三个锂盐生产点。国理公司是国内较早开始从事锂盐生产的企业之一，氢氧化锂生产能力及市场占比较大，积累了丰富的工艺诀窍、技术储备和客户资源，并与国内外众多优质客户建立了良好的合作关系。</w:t>
            </w:r>
          </w:p>
          <w:p>
            <w:pPr>
              <w:ind w:firstLine="480" w:firstLineChars="200"/>
              <w:rPr>
                <w:rFonts w:hint="eastAsia"/>
                <w:color w:val="000000"/>
                <w:kern w:val="0"/>
                <w:sz w:val="24"/>
              </w:rPr>
            </w:pPr>
          </w:p>
          <w:p>
            <w:pPr>
              <w:ind w:firstLine="480" w:firstLineChars="200"/>
              <w:rPr>
                <w:b/>
                <w:color w:val="000000"/>
                <w:kern w:val="0"/>
                <w:sz w:val="24"/>
              </w:rPr>
            </w:pPr>
            <w:r>
              <w:rPr>
                <w:rFonts w:hint="eastAsia"/>
                <w:b/>
                <w:color w:val="000000"/>
                <w:kern w:val="0"/>
                <w:sz w:val="24"/>
              </w:rPr>
              <w:t>二、公司本次非公开发行股票建设</w:t>
            </w:r>
            <w:r>
              <w:rPr>
                <w:b/>
                <w:color w:val="000000"/>
                <w:kern w:val="0"/>
                <w:sz w:val="24"/>
              </w:rPr>
              <w:t>2</w:t>
            </w:r>
            <w:r>
              <w:rPr>
                <w:rFonts w:hint="eastAsia"/>
                <w:b/>
                <w:color w:val="000000"/>
                <w:kern w:val="0"/>
                <w:sz w:val="24"/>
              </w:rPr>
              <w:t>万吨氢氧化锂、</w:t>
            </w:r>
            <w:r>
              <w:rPr>
                <w:b/>
                <w:color w:val="000000"/>
                <w:kern w:val="0"/>
                <w:sz w:val="24"/>
              </w:rPr>
              <w:t>1.1</w:t>
            </w:r>
            <w:r>
              <w:rPr>
                <w:rFonts w:hint="eastAsia"/>
                <w:b/>
                <w:color w:val="000000"/>
                <w:kern w:val="0"/>
                <w:sz w:val="24"/>
              </w:rPr>
              <w:t>万吨氯化锂及其制品生产线是否有充分的订单？锂资源如何保障？</w:t>
            </w:r>
          </w:p>
          <w:p>
            <w:pPr>
              <w:ind w:firstLine="480" w:firstLineChars="200"/>
              <w:rPr>
                <w:color w:val="000000"/>
                <w:kern w:val="0"/>
                <w:sz w:val="24"/>
              </w:rPr>
            </w:pPr>
            <w:r>
              <w:rPr>
                <w:rFonts w:hint="eastAsia"/>
                <w:color w:val="000000"/>
                <w:kern w:val="0"/>
                <w:sz w:val="24"/>
              </w:rPr>
              <w:t>答：公司本次募投项目的建设完全是依据下游客户的扩产需求配套建设，未来订单有充足的保证。</w:t>
            </w:r>
          </w:p>
          <w:p>
            <w:pPr>
              <w:ind w:firstLine="480" w:firstLineChars="200"/>
              <w:rPr>
                <w:color w:val="000000"/>
                <w:kern w:val="0"/>
                <w:sz w:val="24"/>
              </w:rPr>
            </w:pPr>
            <w:r>
              <w:rPr>
                <w:rFonts w:hint="eastAsia"/>
                <w:color w:val="000000"/>
                <w:kern w:val="0"/>
                <w:sz w:val="24"/>
              </w:rPr>
              <w:t>在锂资源保障方面，公司通过多渠道拓展原材料供应，以确保锂业务现有产线的生产和后续产线的扩张。目前主要有：</w:t>
            </w:r>
          </w:p>
          <w:p>
            <w:pPr>
              <w:ind w:firstLine="480" w:firstLineChars="200"/>
              <w:rPr>
                <w:color w:val="000000"/>
                <w:kern w:val="0"/>
                <w:sz w:val="24"/>
              </w:rPr>
            </w:pPr>
            <w:r>
              <w:rPr>
                <w:rFonts w:hint="eastAsia"/>
                <w:color w:val="000000"/>
                <w:kern w:val="0"/>
                <w:sz w:val="24"/>
              </w:rPr>
              <w:t>（</w:t>
            </w:r>
            <w:r>
              <w:rPr>
                <w:color w:val="000000"/>
                <w:kern w:val="0"/>
                <w:sz w:val="24"/>
              </w:rPr>
              <w:t>1</w:t>
            </w:r>
            <w:r>
              <w:rPr>
                <w:rFonts w:hint="eastAsia"/>
                <w:color w:val="000000"/>
                <w:kern w:val="0"/>
                <w:sz w:val="24"/>
              </w:rPr>
              <w:t>）与银河锂业签订锂精矿承购协议。每年可采购锂精矿数量不低于</w:t>
            </w:r>
            <w:r>
              <w:rPr>
                <w:color w:val="000000"/>
                <w:kern w:val="0"/>
                <w:sz w:val="24"/>
              </w:rPr>
              <w:t>12</w:t>
            </w:r>
            <w:r>
              <w:rPr>
                <w:rFonts w:hint="eastAsia"/>
                <w:color w:val="000000"/>
                <w:kern w:val="0"/>
                <w:sz w:val="24"/>
              </w:rPr>
              <w:t>万吨，是公司未来锂盐生产重要的原材料保障渠道之一。</w:t>
            </w:r>
          </w:p>
          <w:p>
            <w:pPr>
              <w:ind w:firstLine="480" w:firstLineChars="200"/>
              <w:rPr>
                <w:color w:val="000000"/>
                <w:kern w:val="0"/>
                <w:sz w:val="24"/>
              </w:rPr>
            </w:pPr>
            <w:r>
              <w:rPr>
                <w:rFonts w:hint="eastAsia"/>
                <w:color w:val="000000"/>
                <w:kern w:val="0"/>
                <w:sz w:val="24"/>
              </w:rPr>
              <w:t>（</w:t>
            </w:r>
            <w:r>
              <w:rPr>
                <w:color w:val="000000"/>
                <w:kern w:val="0"/>
                <w:sz w:val="24"/>
              </w:rPr>
              <w:t>2</w:t>
            </w:r>
            <w:r>
              <w:rPr>
                <w:rFonts w:hint="eastAsia"/>
                <w:color w:val="000000"/>
                <w:kern w:val="0"/>
                <w:sz w:val="24"/>
              </w:rPr>
              <w:t>）李家沟锂辉石矿优先供应权。公司参股的能投锂业下属全资公司德鑫矿业拥有李家沟锂辉石矿采矿权，根据协议约定，能投锂业（含德鑫矿业）日后开采、加工的锂精矿将优先满足国理公司生产。目前李家沟锂矿正在建设中。</w:t>
            </w:r>
          </w:p>
          <w:p>
            <w:pPr>
              <w:ind w:firstLine="480" w:firstLineChars="200"/>
              <w:rPr>
                <w:color w:val="000000"/>
                <w:kern w:val="0"/>
                <w:sz w:val="24"/>
              </w:rPr>
            </w:pPr>
            <w:r>
              <w:rPr>
                <w:rFonts w:hint="eastAsia"/>
                <w:color w:val="000000"/>
                <w:kern w:val="0"/>
                <w:sz w:val="24"/>
              </w:rPr>
              <w:t>（</w:t>
            </w:r>
            <w:r>
              <w:rPr>
                <w:color w:val="000000"/>
                <w:kern w:val="0"/>
                <w:sz w:val="24"/>
              </w:rPr>
              <w:t>3</w:t>
            </w:r>
            <w:r>
              <w:rPr>
                <w:rFonts w:hint="eastAsia"/>
                <w:color w:val="000000"/>
                <w:kern w:val="0"/>
                <w:sz w:val="24"/>
              </w:rPr>
              <w:t>）参股澳洲</w:t>
            </w:r>
            <w:r>
              <w:rPr>
                <w:color w:val="000000"/>
                <w:kern w:val="0"/>
                <w:sz w:val="24"/>
              </w:rPr>
              <w:t>Core</w:t>
            </w:r>
            <w:r>
              <w:rPr>
                <w:rFonts w:hint="eastAsia"/>
                <w:color w:val="000000"/>
                <w:kern w:val="0"/>
                <w:sz w:val="24"/>
              </w:rPr>
              <w:t>公司并签订锂矿承购协议。</w:t>
            </w:r>
          </w:p>
          <w:p>
            <w:pPr>
              <w:ind w:firstLine="480" w:firstLineChars="200"/>
              <w:rPr>
                <w:color w:val="000000"/>
                <w:kern w:val="0"/>
                <w:sz w:val="24"/>
              </w:rPr>
            </w:pPr>
            <w:r>
              <w:rPr>
                <w:rFonts w:hint="eastAsia"/>
                <w:color w:val="000000"/>
                <w:kern w:val="0"/>
                <w:sz w:val="24"/>
              </w:rPr>
              <w:t>除此之外，公司将继续寻求与其他锂矿、盐湖的合作，积极扩大上游锂资源的储备，建立稳定的锂资源供应保障体系。</w:t>
            </w:r>
          </w:p>
          <w:p>
            <w:pPr>
              <w:ind w:firstLine="480" w:firstLineChars="200"/>
              <w:rPr>
                <w:color w:val="000000"/>
                <w:kern w:val="0"/>
                <w:sz w:val="24"/>
              </w:rPr>
            </w:pPr>
          </w:p>
          <w:p>
            <w:pPr>
              <w:pStyle w:val="10"/>
              <w:ind w:firstLine="480"/>
              <w:rPr>
                <w:rFonts w:ascii="Times New Roman" w:cs="Times New Roman"/>
                <w:b/>
              </w:rPr>
            </w:pPr>
            <w:r>
              <w:rPr>
                <w:rFonts w:hint="eastAsia" w:ascii="Times New Roman" w:cs="Times New Roman"/>
                <w:b/>
              </w:rPr>
              <w:t>三、公司锂产业目前情况及后续打算？</w:t>
            </w:r>
          </w:p>
          <w:p>
            <w:pPr>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目前公司拥有雅安锂业、国理公司、兴晟锂业三个锂盐生产点。</w:t>
            </w:r>
          </w:p>
          <w:p>
            <w:pPr>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国理公司：公司于2013年通过参股国理公司从而进军锂产业，国理公司是国内较早开始从事锂盐生产的企业，是国内重要的锂盐生产企业，发展前景较好，产品品质优良，特别是氢氧化锂生产能力及市场占比较大，在锂盐制造方面积累了丰富经验、技术储备和客户资源，综合竞争优势明显，与国内外众多优质客户建立了良好的合作关系。</w:t>
            </w:r>
          </w:p>
          <w:p>
            <w:pPr>
              <w:pStyle w:val="10"/>
              <w:adjustRightInd/>
              <w:ind w:firstLine="48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2、兴晟锂业：专注于氢氧化锂生产，将通过装备技术和工艺的提升，生产高品质的氢氧化锂产品。</w:t>
            </w:r>
          </w:p>
          <w:p>
            <w:pPr>
              <w:pStyle w:val="10"/>
              <w:adjustRightInd/>
              <w:ind w:firstLine="480"/>
              <w:jc w:val="both"/>
              <w:rPr>
                <w:rFonts w:ascii="Times New Roman" w:cs="Times New Roman"/>
              </w:rPr>
            </w:pPr>
            <w:r>
              <w:rPr>
                <w:rFonts w:hint="eastAsia" w:ascii="Times New Roman" w:cs="Times New Roman"/>
              </w:rPr>
              <w:t>3、雅安锂业拥有行业领先的生产工艺水平、装备技术水平，具有完备的技术积累以及丰富的人力储备。经过几个月的试生产，产品质量稳定，得到了下游客户的一致认可。雅安锂业今后将继续关注下游客户的需求，在“雅化锂业技术研发中心”的支撑下，关注锂产业技术发展方向，关注锂盐产品下游客户对产品品质的需求，关注新工艺、新技术、新材料及新的检测方法，不断提高产品品质，降低产品成本，提高市场竞争力，持续满足客户需求。</w:t>
            </w:r>
          </w:p>
          <w:p>
            <w:pPr>
              <w:pStyle w:val="10"/>
              <w:adjustRightInd/>
              <w:ind w:firstLine="480"/>
              <w:jc w:val="both"/>
              <w:rPr>
                <w:rFonts w:ascii="Times New Roman" w:cs="Times New Roman"/>
              </w:rPr>
            </w:pPr>
            <w:r>
              <w:rPr>
                <w:rFonts w:hint="eastAsia" w:hAnsi="宋体"/>
                <w:color w:val="000000" w:themeColor="text1"/>
                <w14:textFill>
                  <w14:solidFill>
                    <w14:schemeClr w14:val="tx1"/>
                  </w14:solidFill>
                </w14:textFill>
              </w:rPr>
              <w:t>目前，公司产能合计近4万吨，主要以氢氧化锂产能为主，同时配有碳酸锂生产产能。未来，在行业新的周期来临、下游需求爆发时，公司将继续扩产，使锂盐材料产能再上一个台阶。</w:t>
            </w:r>
          </w:p>
          <w:p>
            <w:pPr>
              <w:pStyle w:val="10"/>
              <w:adjustRightInd/>
              <w:jc w:val="both"/>
              <w:rPr>
                <w:rFonts w:ascii="Times New Roman" w:cs="Times New Roman"/>
              </w:rPr>
            </w:pPr>
          </w:p>
          <w:p>
            <w:pPr>
              <w:pStyle w:val="10"/>
              <w:adjustRightInd/>
              <w:ind w:firstLine="480"/>
              <w:jc w:val="both"/>
              <w:rPr>
                <w:rFonts w:ascii="Times New Roman" w:cs="Times New Roman"/>
                <w:b/>
              </w:rPr>
            </w:pPr>
            <w:r>
              <w:rPr>
                <w:rFonts w:hint="eastAsia" w:ascii="Times New Roman" w:cs="Times New Roman"/>
                <w:b/>
              </w:rPr>
              <w:t>四、民爆业务发展情况？</w:t>
            </w:r>
          </w:p>
          <w:p>
            <w:pPr>
              <w:ind w:firstLine="480"/>
            </w:pPr>
            <w:r>
              <w:rPr>
                <w:rFonts w:hint="eastAsia"/>
                <w:color w:val="000000"/>
                <w:kern w:val="0"/>
                <w:sz w:val="24"/>
              </w:rPr>
              <w:t>答：民爆产业目前的产能基本上是全产能释放。公司民爆业务未来的增量主要在爆破领域，公司拥有丰富的工程爆破经验以及行业领先的工程爆破技术，</w:t>
            </w:r>
            <w:r>
              <w:rPr>
                <w:color w:val="000000"/>
                <w:kern w:val="0"/>
                <w:sz w:val="24"/>
              </w:rPr>
              <w:t>近</w:t>
            </w:r>
            <w:r>
              <w:rPr>
                <w:rFonts w:hint="eastAsia"/>
                <w:color w:val="000000"/>
                <w:kern w:val="0"/>
                <w:sz w:val="24"/>
              </w:rPr>
              <w:t>年</w:t>
            </w:r>
            <w:r>
              <w:rPr>
                <w:color w:val="000000"/>
                <w:kern w:val="0"/>
                <w:sz w:val="24"/>
              </w:rPr>
              <w:t>来</w:t>
            </w:r>
            <w:r>
              <w:rPr>
                <w:rFonts w:hint="eastAsia"/>
                <w:color w:val="000000"/>
                <w:kern w:val="0"/>
                <w:sz w:val="24"/>
              </w:rPr>
              <w:t>公司爆破业务</w:t>
            </w:r>
            <w:r>
              <w:rPr>
                <w:color w:val="000000"/>
                <w:kern w:val="0"/>
                <w:sz w:val="24"/>
              </w:rPr>
              <w:t>均呈较快的增长态势，</w:t>
            </w:r>
            <w:r>
              <w:rPr>
                <w:rFonts w:hint="eastAsia"/>
                <w:color w:val="000000"/>
                <w:kern w:val="0"/>
                <w:sz w:val="24"/>
              </w:rPr>
              <w:t>在国家加大铁路、公路以及水利水电等基础设施投资力度的大环境下，公司爆破业务的持续增长将会得到</w:t>
            </w:r>
            <w:r>
              <w:rPr>
                <w:color w:val="000000"/>
                <w:kern w:val="0"/>
                <w:sz w:val="24"/>
              </w:rPr>
              <w:t>有力</w:t>
            </w:r>
            <w:r>
              <w:rPr>
                <w:rFonts w:hint="eastAsia"/>
                <w:color w:val="000000"/>
                <w:kern w:val="0"/>
                <w:sz w:val="24"/>
              </w:rPr>
              <w:t>保障。</w:t>
            </w:r>
          </w:p>
          <w:p>
            <w:pPr>
              <w:ind w:firstLine="480" w:firstLineChars="200"/>
              <w:rPr>
                <w:rFonts w:hint="eastAsia"/>
                <w:color w:val="000000"/>
                <w:kern w:val="0"/>
                <w:sz w:val="24"/>
              </w:rPr>
            </w:pPr>
            <w:r>
              <w:rPr>
                <w:rFonts w:hint="eastAsia"/>
                <w:color w:val="000000"/>
                <w:kern w:val="0"/>
                <w:sz w:val="24"/>
              </w:rPr>
              <w:t>公司民爆生产基地大多布局于西部大开发的核心地带，</w:t>
            </w:r>
            <w:r>
              <w:rPr>
                <w:rFonts w:hint="eastAsia" w:ascii="宋体" w:cs="宋体"/>
                <w:color w:val="000000"/>
                <w:kern w:val="0"/>
                <w:sz w:val="24"/>
              </w:rPr>
              <w:t>《指导意见》中关于强化基础设施规划建设的举措，特别是加快川藏铁路、沿江高铁、渝昆高铁等重大铁路工程规划建设项目中，</w:t>
            </w:r>
            <w:r>
              <w:rPr>
                <w:rFonts w:hint="eastAsia"/>
                <w:color w:val="000000"/>
                <w:kern w:val="0"/>
                <w:sz w:val="24"/>
              </w:rPr>
              <w:t>公司</w:t>
            </w:r>
            <w:r>
              <w:rPr>
                <w:rFonts w:hint="eastAsia" w:ascii="宋体" w:cs="宋体"/>
                <w:color w:val="000000"/>
                <w:kern w:val="0"/>
                <w:sz w:val="24"/>
              </w:rPr>
              <w:t>也将会争取</w:t>
            </w:r>
            <w:r>
              <w:rPr>
                <w:rFonts w:hint="eastAsia"/>
                <w:color w:val="000000"/>
                <w:kern w:val="0"/>
                <w:sz w:val="24"/>
              </w:rPr>
              <w:t>较大的市场份额。</w:t>
            </w:r>
          </w:p>
          <w:p>
            <w:pPr>
              <w:ind w:firstLine="480" w:firstLineChars="200"/>
              <w:rPr>
                <w:rFonts w:hint="eastAsia"/>
                <w:color w:val="000000"/>
                <w:kern w:val="0"/>
                <w:sz w:val="24"/>
              </w:rPr>
            </w:pPr>
          </w:p>
          <w:p>
            <w:pPr>
              <w:ind w:firstLine="480" w:firstLineChars="200"/>
              <w:rPr>
                <w:rFonts w:hint="eastAsia"/>
                <w:b/>
                <w:color w:val="000000"/>
                <w:kern w:val="0"/>
                <w:sz w:val="24"/>
              </w:rPr>
            </w:pPr>
            <w:r>
              <w:rPr>
                <w:rFonts w:hint="eastAsia"/>
                <w:b/>
                <w:color w:val="000000"/>
                <w:kern w:val="0"/>
                <w:sz w:val="24"/>
              </w:rPr>
              <w:t>五、川藏铁路项目的进展情况，何时开工？</w:t>
            </w:r>
          </w:p>
          <w:p>
            <w:pPr>
              <w:ind w:firstLine="480" w:firstLineChars="200"/>
              <w:rPr>
                <w:color w:val="000000"/>
                <w:kern w:val="0"/>
                <w:sz w:val="24"/>
              </w:rPr>
            </w:pPr>
            <w:r>
              <w:rPr>
                <w:rFonts w:hint="eastAsia"/>
                <w:color w:val="000000"/>
                <w:kern w:val="0"/>
                <w:sz w:val="24"/>
              </w:rPr>
              <w:t>答：川藏铁路实行分段建设，东段为成都经雅安至康定，中段为康定至林芝，西段为拉萨至林芝，其中成都至雅安段已于2018年底通车。目前建设方案通过国家科研批复后，最快将于今年7月动工。</w:t>
            </w:r>
            <w:r>
              <w:rPr>
                <w:rFonts w:hint="default"/>
                <w:color w:val="000000"/>
                <w:kern w:val="0"/>
                <w:sz w:val="24"/>
              </w:rPr>
              <w:t>该</w:t>
            </w:r>
            <w:r>
              <w:rPr>
                <w:rFonts w:hint="eastAsia"/>
                <w:color w:val="000000"/>
                <w:kern w:val="0"/>
                <w:sz w:val="24"/>
              </w:rPr>
              <w:t>铁路的桥隧比高达80%以上，将带来较大的炸药使用量和爆破服务工程量。</w:t>
            </w:r>
            <w:r>
              <w:rPr>
                <w:rFonts w:hint="default"/>
                <w:color w:val="000000"/>
                <w:kern w:val="0"/>
                <w:sz w:val="24"/>
              </w:rPr>
              <w:t>该工程</w:t>
            </w:r>
            <w:r>
              <w:rPr>
                <w:rFonts w:hint="eastAsia"/>
                <w:color w:val="000000"/>
                <w:kern w:val="0"/>
                <w:sz w:val="24"/>
              </w:rPr>
              <w:t>覆盖公司传统优势区域，公司也将全力配合</w:t>
            </w:r>
            <w:bookmarkStart w:id="0" w:name="_GoBack"/>
            <w:bookmarkEnd w:id="0"/>
            <w:r>
              <w:rPr>
                <w:rFonts w:hint="eastAsia"/>
                <w:color w:val="000000"/>
                <w:kern w:val="0"/>
                <w:sz w:val="24"/>
              </w:rPr>
              <w:t>做好炸药保供和爆破方案设计工作。</w:t>
            </w:r>
          </w:p>
          <w:p>
            <w:pPr>
              <w:rPr>
                <w:color w:val="000000"/>
                <w:kern w:val="0"/>
                <w:sz w:val="24"/>
              </w:rPr>
            </w:pPr>
          </w:p>
          <w:p>
            <w:pPr>
              <w:ind w:firstLine="480" w:firstLineChars="200"/>
              <w:rPr>
                <w:b/>
              </w:rPr>
            </w:pPr>
            <w:r>
              <w:rPr>
                <w:rFonts w:hint="eastAsia"/>
                <w:b/>
                <w:color w:val="000000"/>
                <w:kern w:val="0"/>
                <w:sz w:val="24"/>
              </w:rPr>
              <w:t>六、公司未来战略发展规划</w:t>
            </w:r>
          </w:p>
          <w:p>
            <w:pPr>
              <w:ind w:firstLine="480"/>
              <w:rPr>
                <w:color w:val="000000"/>
                <w:kern w:val="0"/>
                <w:sz w:val="24"/>
              </w:rPr>
            </w:pPr>
            <w:r>
              <w:rPr>
                <w:rFonts w:hint="eastAsia"/>
                <w:color w:val="000000"/>
                <w:kern w:val="0"/>
                <w:sz w:val="24"/>
              </w:rPr>
              <w:t>公司将坚持民爆和锂产业双主业联动发展，将充分发挥在产业链、区位、市场、管理、资源整合、人才和技术等方面的优势，在民爆产业方面不断巩固在民爆产业的行业地位和盈利能力，将公司打造成具有国际竞争力的民爆产业集团；在锂产业方面将通过资源保障、扩能建设和核心客户快速做强，将公司打造成具有全球影响力的锂盐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trPr>
        <w:tc>
          <w:tcPr>
            <w:tcW w:w="1262" w:type="dxa"/>
            <w:tcBorders>
              <w:top w:val="single" w:color="auto" w:sz="4" w:space="0"/>
              <w:left w:val="single" w:color="auto" w:sz="4" w:space="0"/>
              <w:bottom w:val="single" w:color="auto" w:sz="4" w:space="0"/>
              <w:right w:val="single" w:color="auto" w:sz="4" w:space="0"/>
            </w:tcBorders>
            <w:vAlign w:val="center"/>
          </w:tcPr>
          <w:p>
            <w:pPr>
              <w:spacing w:line="480" w:lineRule="atLeast"/>
              <w:jc w:val="center"/>
              <w:rPr>
                <w:rFonts w:ascii="宋体" w:hAnsi="宋体"/>
                <w:b/>
                <w:bCs/>
                <w:iCs/>
                <w:color w:val="000000"/>
                <w:sz w:val="24"/>
              </w:rPr>
            </w:pPr>
            <w:r>
              <w:rPr>
                <w:rFonts w:hint="eastAsia" w:ascii="宋体" w:hAnsi="宋体"/>
                <w:b/>
                <w:bCs/>
                <w:iCs/>
                <w:color w:val="000000"/>
                <w:sz w:val="24"/>
              </w:rPr>
              <w:t>附件清单（如有）</w:t>
            </w:r>
          </w:p>
        </w:tc>
        <w:tc>
          <w:tcPr>
            <w:tcW w:w="9013" w:type="dxa"/>
            <w:tcBorders>
              <w:top w:val="single" w:color="auto" w:sz="4" w:space="0"/>
              <w:left w:val="single" w:color="auto" w:sz="4" w:space="0"/>
              <w:bottom w:val="single" w:color="auto" w:sz="4" w:space="0"/>
              <w:right w:val="single" w:color="auto" w:sz="4" w:space="0"/>
            </w:tcBorders>
            <w:vAlign w:val="center"/>
          </w:tcPr>
          <w:p>
            <w:pPr>
              <w:spacing w:line="480" w:lineRule="atLeast"/>
              <w:rPr>
                <w:sz w:val="28"/>
                <w:szCs w:val="28"/>
              </w:rPr>
            </w:pPr>
            <w:r>
              <w:rPr>
                <w:rFonts w:hint="eastAsia"/>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1262" w:type="dxa"/>
            <w:tcBorders>
              <w:top w:val="single" w:color="auto" w:sz="4" w:space="0"/>
              <w:left w:val="single" w:color="auto" w:sz="4" w:space="0"/>
              <w:bottom w:val="single" w:color="auto" w:sz="4" w:space="0"/>
              <w:right w:val="single" w:color="auto" w:sz="4" w:space="0"/>
            </w:tcBorders>
            <w:vAlign w:val="center"/>
          </w:tcPr>
          <w:p>
            <w:pPr>
              <w:spacing w:line="480" w:lineRule="atLeast"/>
              <w:jc w:val="center"/>
              <w:rPr>
                <w:rFonts w:ascii="宋体" w:hAnsi="宋体"/>
                <w:b/>
                <w:bCs/>
                <w:iCs/>
                <w:color w:val="000000"/>
                <w:sz w:val="24"/>
              </w:rPr>
            </w:pPr>
            <w:r>
              <w:rPr>
                <w:rFonts w:hint="eastAsia" w:ascii="宋体" w:hAnsi="宋体"/>
                <w:b/>
                <w:bCs/>
                <w:iCs/>
                <w:color w:val="000000"/>
                <w:sz w:val="24"/>
              </w:rPr>
              <w:t>日期</w:t>
            </w:r>
          </w:p>
        </w:tc>
        <w:tc>
          <w:tcPr>
            <w:tcW w:w="9013" w:type="dxa"/>
            <w:tcBorders>
              <w:top w:val="single" w:color="auto" w:sz="4" w:space="0"/>
              <w:left w:val="single" w:color="auto" w:sz="4" w:space="0"/>
              <w:bottom w:val="single" w:color="auto" w:sz="4" w:space="0"/>
              <w:right w:val="single" w:color="auto" w:sz="4" w:space="0"/>
            </w:tcBorders>
            <w:vAlign w:val="center"/>
          </w:tcPr>
          <w:p>
            <w:pPr>
              <w:spacing w:line="480" w:lineRule="atLeast"/>
              <w:rPr>
                <w:sz w:val="28"/>
                <w:szCs w:val="28"/>
              </w:rPr>
            </w:pPr>
            <w:r>
              <w:rPr>
                <w:rFonts w:hint="eastAsia"/>
                <w:sz w:val="28"/>
                <w:szCs w:val="28"/>
              </w:rPr>
              <w:t>2020年6月16日</w:t>
            </w:r>
          </w:p>
        </w:tc>
      </w:tr>
    </w:tbl>
    <w:p/>
    <w:sectPr>
      <w:headerReference r:id="rId3" w:type="default"/>
      <w:pgSz w:w="11906" w:h="16838"/>
      <w:pgMar w:top="1091" w:right="1800" w:bottom="9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29"/>
    <w:rsid w:val="00002512"/>
    <w:rsid w:val="000032C9"/>
    <w:rsid w:val="00006F6C"/>
    <w:rsid w:val="00007102"/>
    <w:rsid w:val="00007922"/>
    <w:rsid w:val="00014383"/>
    <w:rsid w:val="00014D85"/>
    <w:rsid w:val="0001741F"/>
    <w:rsid w:val="00020101"/>
    <w:rsid w:val="00022529"/>
    <w:rsid w:val="00024B86"/>
    <w:rsid w:val="000263CE"/>
    <w:rsid w:val="000265C7"/>
    <w:rsid w:val="00026DB0"/>
    <w:rsid w:val="00037B6F"/>
    <w:rsid w:val="0006278F"/>
    <w:rsid w:val="00062A80"/>
    <w:rsid w:val="000A3FF0"/>
    <w:rsid w:val="000A54CA"/>
    <w:rsid w:val="000A5914"/>
    <w:rsid w:val="000B0C82"/>
    <w:rsid w:val="000B3EF8"/>
    <w:rsid w:val="000C12EB"/>
    <w:rsid w:val="000C4865"/>
    <w:rsid w:val="000C507C"/>
    <w:rsid w:val="000E2A5E"/>
    <w:rsid w:val="000E5439"/>
    <w:rsid w:val="00106AC4"/>
    <w:rsid w:val="00121AFE"/>
    <w:rsid w:val="0012355A"/>
    <w:rsid w:val="00125CA8"/>
    <w:rsid w:val="001301D0"/>
    <w:rsid w:val="00130F62"/>
    <w:rsid w:val="00132FD7"/>
    <w:rsid w:val="00134BB7"/>
    <w:rsid w:val="001454C8"/>
    <w:rsid w:val="001518F8"/>
    <w:rsid w:val="0015355E"/>
    <w:rsid w:val="00154E4F"/>
    <w:rsid w:val="00156996"/>
    <w:rsid w:val="00170704"/>
    <w:rsid w:val="00170A9F"/>
    <w:rsid w:val="0017189E"/>
    <w:rsid w:val="001756E4"/>
    <w:rsid w:val="00183CE4"/>
    <w:rsid w:val="0018459C"/>
    <w:rsid w:val="00186EB3"/>
    <w:rsid w:val="001970B2"/>
    <w:rsid w:val="001B317F"/>
    <w:rsid w:val="001B7E69"/>
    <w:rsid w:val="001C6484"/>
    <w:rsid w:val="001D1156"/>
    <w:rsid w:val="001D1CEC"/>
    <w:rsid w:val="001D2DA4"/>
    <w:rsid w:val="001D3866"/>
    <w:rsid w:val="001D53B5"/>
    <w:rsid w:val="001D5F4F"/>
    <w:rsid w:val="001E1342"/>
    <w:rsid w:val="001E7086"/>
    <w:rsid w:val="001F2E7B"/>
    <w:rsid w:val="0021264C"/>
    <w:rsid w:val="002139C6"/>
    <w:rsid w:val="002222F2"/>
    <w:rsid w:val="002255E1"/>
    <w:rsid w:val="002309D2"/>
    <w:rsid w:val="00236D4C"/>
    <w:rsid w:val="002377F5"/>
    <w:rsid w:val="00237D94"/>
    <w:rsid w:val="00250274"/>
    <w:rsid w:val="00255ACC"/>
    <w:rsid w:val="002578F8"/>
    <w:rsid w:val="002605DC"/>
    <w:rsid w:val="00262F7B"/>
    <w:rsid w:val="00263BA0"/>
    <w:rsid w:val="00265332"/>
    <w:rsid w:val="002747AE"/>
    <w:rsid w:val="002769C4"/>
    <w:rsid w:val="002822C1"/>
    <w:rsid w:val="0028486C"/>
    <w:rsid w:val="00290B75"/>
    <w:rsid w:val="002934BD"/>
    <w:rsid w:val="00297341"/>
    <w:rsid w:val="002A4748"/>
    <w:rsid w:val="002A501D"/>
    <w:rsid w:val="002C10F8"/>
    <w:rsid w:val="002C340C"/>
    <w:rsid w:val="002C3B21"/>
    <w:rsid w:val="002C3D5A"/>
    <w:rsid w:val="002C41B8"/>
    <w:rsid w:val="002C7FAB"/>
    <w:rsid w:val="002D072E"/>
    <w:rsid w:val="002D2D26"/>
    <w:rsid w:val="002E71C5"/>
    <w:rsid w:val="002F2484"/>
    <w:rsid w:val="002F52D2"/>
    <w:rsid w:val="002F757A"/>
    <w:rsid w:val="002F7B27"/>
    <w:rsid w:val="003103B3"/>
    <w:rsid w:val="00310826"/>
    <w:rsid w:val="00314D78"/>
    <w:rsid w:val="0031681D"/>
    <w:rsid w:val="003256CA"/>
    <w:rsid w:val="0032656B"/>
    <w:rsid w:val="00342791"/>
    <w:rsid w:val="003507A3"/>
    <w:rsid w:val="0035118E"/>
    <w:rsid w:val="00351217"/>
    <w:rsid w:val="003512B7"/>
    <w:rsid w:val="00361BFB"/>
    <w:rsid w:val="00362965"/>
    <w:rsid w:val="003634B2"/>
    <w:rsid w:val="00364D4E"/>
    <w:rsid w:val="00365813"/>
    <w:rsid w:val="00367B98"/>
    <w:rsid w:val="00372114"/>
    <w:rsid w:val="00376472"/>
    <w:rsid w:val="00380924"/>
    <w:rsid w:val="00384043"/>
    <w:rsid w:val="0038581C"/>
    <w:rsid w:val="003877E2"/>
    <w:rsid w:val="00391F4A"/>
    <w:rsid w:val="00394734"/>
    <w:rsid w:val="003A7976"/>
    <w:rsid w:val="003B276F"/>
    <w:rsid w:val="003B2B53"/>
    <w:rsid w:val="003B7DBB"/>
    <w:rsid w:val="003C1B4F"/>
    <w:rsid w:val="003D38C7"/>
    <w:rsid w:val="003D6DF1"/>
    <w:rsid w:val="003E1317"/>
    <w:rsid w:val="003E243E"/>
    <w:rsid w:val="003E3791"/>
    <w:rsid w:val="003E52FB"/>
    <w:rsid w:val="00400D4C"/>
    <w:rsid w:val="00411250"/>
    <w:rsid w:val="004141F7"/>
    <w:rsid w:val="00417E6A"/>
    <w:rsid w:val="00424115"/>
    <w:rsid w:val="00425C80"/>
    <w:rsid w:val="0042719D"/>
    <w:rsid w:val="00435394"/>
    <w:rsid w:val="004400E0"/>
    <w:rsid w:val="0044418D"/>
    <w:rsid w:val="00447734"/>
    <w:rsid w:val="0045138E"/>
    <w:rsid w:val="00452E29"/>
    <w:rsid w:val="004538CD"/>
    <w:rsid w:val="00453970"/>
    <w:rsid w:val="00456F24"/>
    <w:rsid w:val="00461147"/>
    <w:rsid w:val="00464E04"/>
    <w:rsid w:val="00470106"/>
    <w:rsid w:val="00474DFA"/>
    <w:rsid w:val="0049147B"/>
    <w:rsid w:val="00497D10"/>
    <w:rsid w:val="004A1997"/>
    <w:rsid w:val="004B085D"/>
    <w:rsid w:val="004B23EF"/>
    <w:rsid w:val="004B633C"/>
    <w:rsid w:val="004B673E"/>
    <w:rsid w:val="004C42D7"/>
    <w:rsid w:val="004D2F68"/>
    <w:rsid w:val="004D3D65"/>
    <w:rsid w:val="004D58D9"/>
    <w:rsid w:val="004E160E"/>
    <w:rsid w:val="004E17E4"/>
    <w:rsid w:val="004E6ABC"/>
    <w:rsid w:val="004F3E03"/>
    <w:rsid w:val="004F7E08"/>
    <w:rsid w:val="0050127B"/>
    <w:rsid w:val="005023BF"/>
    <w:rsid w:val="00502734"/>
    <w:rsid w:val="005030E8"/>
    <w:rsid w:val="00503A19"/>
    <w:rsid w:val="00503A59"/>
    <w:rsid w:val="00514D6B"/>
    <w:rsid w:val="005168F9"/>
    <w:rsid w:val="00517005"/>
    <w:rsid w:val="0052263D"/>
    <w:rsid w:val="0052491E"/>
    <w:rsid w:val="005254F8"/>
    <w:rsid w:val="0053481F"/>
    <w:rsid w:val="00536811"/>
    <w:rsid w:val="00541019"/>
    <w:rsid w:val="00542BD7"/>
    <w:rsid w:val="00544042"/>
    <w:rsid w:val="005536B7"/>
    <w:rsid w:val="00582C03"/>
    <w:rsid w:val="005830DC"/>
    <w:rsid w:val="005913A6"/>
    <w:rsid w:val="00594327"/>
    <w:rsid w:val="00594474"/>
    <w:rsid w:val="00595495"/>
    <w:rsid w:val="005978D5"/>
    <w:rsid w:val="005A390D"/>
    <w:rsid w:val="005A6D3C"/>
    <w:rsid w:val="005B0172"/>
    <w:rsid w:val="005B14CF"/>
    <w:rsid w:val="005B4E97"/>
    <w:rsid w:val="005C2605"/>
    <w:rsid w:val="005C2645"/>
    <w:rsid w:val="005C4633"/>
    <w:rsid w:val="005C49F8"/>
    <w:rsid w:val="005D3F19"/>
    <w:rsid w:val="005D5BC3"/>
    <w:rsid w:val="005F6439"/>
    <w:rsid w:val="0060095B"/>
    <w:rsid w:val="00602E0E"/>
    <w:rsid w:val="006067FE"/>
    <w:rsid w:val="00606E1F"/>
    <w:rsid w:val="00616DA6"/>
    <w:rsid w:val="00624E64"/>
    <w:rsid w:val="00626594"/>
    <w:rsid w:val="00633322"/>
    <w:rsid w:val="00634100"/>
    <w:rsid w:val="00634E63"/>
    <w:rsid w:val="00635FEE"/>
    <w:rsid w:val="00637CA7"/>
    <w:rsid w:val="00643029"/>
    <w:rsid w:val="00650475"/>
    <w:rsid w:val="00654C02"/>
    <w:rsid w:val="00663D9E"/>
    <w:rsid w:val="006753FC"/>
    <w:rsid w:val="00675620"/>
    <w:rsid w:val="0068266E"/>
    <w:rsid w:val="00690C1A"/>
    <w:rsid w:val="006A761D"/>
    <w:rsid w:val="006B0FAA"/>
    <w:rsid w:val="006C09E0"/>
    <w:rsid w:val="006C1F8C"/>
    <w:rsid w:val="006C5F3B"/>
    <w:rsid w:val="006D1EA7"/>
    <w:rsid w:val="006E6C74"/>
    <w:rsid w:val="006F4183"/>
    <w:rsid w:val="006F475F"/>
    <w:rsid w:val="006F64A4"/>
    <w:rsid w:val="0070160A"/>
    <w:rsid w:val="007026CD"/>
    <w:rsid w:val="007118E9"/>
    <w:rsid w:val="00716737"/>
    <w:rsid w:val="00716A44"/>
    <w:rsid w:val="007210A3"/>
    <w:rsid w:val="007266FF"/>
    <w:rsid w:val="007278DD"/>
    <w:rsid w:val="007352B1"/>
    <w:rsid w:val="00742A63"/>
    <w:rsid w:val="0074559D"/>
    <w:rsid w:val="00747355"/>
    <w:rsid w:val="00750992"/>
    <w:rsid w:val="0075674C"/>
    <w:rsid w:val="0076161B"/>
    <w:rsid w:val="007622E0"/>
    <w:rsid w:val="00766188"/>
    <w:rsid w:val="007739AD"/>
    <w:rsid w:val="007760CD"/>
    <w:rsid w:val="00784386"/>
    <w:rsid w:val="007847E7"/>
    <w:rsid w:val="00796FDC"/>
    <w:rsid w:val="007A65DD"/>
    <w:rsid w:val="007B0084"/>
    <w:rsid w:val="007B0B65"/>
    <w:rsid w:val="007C2664"/>
    <w:rsid w:val="007C2EF3"/>
    <w:rsid w:val="007E016B"/>
    <w:rsid w:val="007E04EB"/>
    <w:rsid w:val="007E1B74"/>
    <w:rsid w:val="007E1F23"/>
    <w:rsid w:val="007E60DD"/>
    <w:rsid w:val="0080117E"/>
    <w:rsid w:val="008054FF"/>
    <w:rsid w:val="0080755F"/>
    <w:rsid w:val="00814605"/>
    <w:rsid w:val="00815181"/>
    <w:rsid w:val="00817F62"/>
    <w:rsid w:val="00826849"/>
    <w:rsid w:val="008276C2"/>
    <w:rsid w:val="00831440"/>
    <w:rsid w:val="00834BE1"/>
    <w:rsid w:val="00834DBE"/>
    <w:rsid w:val="008356C2"/>
    <w:rsid w:val="00836CDE"/>
    <w:rsid w:val="008372C4"/>
    <w:rsid w:val="008373AD"/>
    <w:rsid w:val="008476B0"/>
    <w:rsid w:val="00850D57"/>
    <w:rsid w:val="00853745"/>
    <w:rsid w:val="00853BBF"/>
    <w:rsid w:val="00853F4D"/>
    <w:rsid w:val="008562BF"/>
    <w:rsid w:val="00857CB5"/>
    <w:rsid w:val="00861E0A"/>
    <w:rsid w:val="0086337B"/>
    <w:rsid w:val="008642DF"/>
    <w:rsid w:val="00866CA2"/>
    <w:rsid w:val="00873EE8"/>
    <w:rsid w:val="00874AF7"/>
    <w:rsid w:val="00875049"/>
    <w:rsid w:val="0087680C"/>
    <w:rsid w:val="0088392A"/>
    <w:rsid w:val="00884078"/>
    <w:rsid w:val="008917BA"/>
    <w:rsid w:val="00891BB8"/>
    <w:rsid w:val="008930EC"/>
    <w:rsid w:val="00894B90"/>
    <w:rsid w:val="0089664A"/>
    <w:rsid w:val="008A1461"/>
    <w:rsid w:val="008A2DB2"/>
    <w:rsid w:val="008B5799"/>
    <w:rsid w:val="008C5E2C"/>
    <w:rsid w:val="008C6DC2"/>
    <w:rsid w:val="008D32A6"/>
    <w:rsid w:val="008D3E1D"/>
    <w:rsid w:val="008E0C9E"/>
    <w:rsid w:val="008E3B6F"/>
    <w:rsid w:val="008F0FBC"/>
    <w:rsid w:val="009100D8"/>
    <w:rsid w:val="0091163A"/>
    <w:rsid w:val="00915144"/>
    <w:rsid w:val="00922FAE"/>
    <w:rsid w:val="00924ACB"/>
    <w:rsid w:val="00931071"/>
    <w:rsid w:val="0093482B"/>
    <w:rsid w:val="00937DE5"/>
    <w:rsid w:val="00941107"/>
    <w:rsid w:val="00943F91"/>
    <w:rsid w:val="00945466"/>
    <w:rsid w:val="009466E4"/>
    <w:rsid w:val="009518F6"/>
    <w:rsid w:val="00961427"/>
    <w:rsid w:val="009616CF"/>
    <w:rsid w:val="00965268"/>
    <w:rsid w:val="00965939"/>
    <w:rsid w:val="00971ADF"/>
    <w:rsid w:val="00972B2B"/>
    <w:rsid w:val="00982DA6"/>
    <w:rsid w:val="00983957"/>
    <w:rsid w:val="00987685"/>
    <w:rsid w:val="00990BC2"/>
    <w:rsid w:val="00993DCF"/>
    <w:rsid w:val="009A1889"/>
    <w:rsid w:val="009B20F6"/>
    <w:rsid w:val="009D0BEC"/>
    <w:rsid w:val="009D702C"/>
    <w:rsid w:val="009E0E00"/>
    <w:rsid w:val="009E1E6B"/>
    <w:rsid w:val="009E70B4"/>
    <w:rsid w:val="009E7D8B"/>
    <w:rsid w:val="009F0358"/>
    <w:rsid w:val="009F084C"/>
    <w:rsid w:val="009F1BB0"/>
    <w:rsid w:val="009F3821"/>
    <w:rsid w:val="009F474B"/>
    <w:rsid w:val="00A00095"/>
    <w:rsid w:val="00A04D9C"/>
    <w:rsid w:val="00A07F95"/>
    <w:rsid w:val="00A1100A"/>
    <w:rsid w:val="00A13D80"/>
    <w:rsid w:val="00A13FAD"/>
    <w:rsid w:val="00A15AA6"/>
    <w:rsid w:val="00A16221"/>
    <w:rsid w:val="00A234E6"/>
    <w:rsid w:val="00A24365"/>
    <w:rsid w:val="00A2593A"/>
    <w:rsid w:val="00A31A54"/>
    <w:rsid w:val="00A31F8A"/>
    <w:rsid w:val="00A371A2"/>
    <w:rsid w:val="00A47629"/>
    <w:rsid w:val="00A532E1"/>
    <w:rsid w:val="00A53D0A"/>
    <w:rsid w:val="00A57524"/>
    <w:rsid w:val="00A6163F"/>
    <w:rsid w:val="00A626A0"/>
    <w:rsid w:val="00A63803"/>
    <w:rsid w:val="00A70AE6"/>
    <w:rsid w:val="00A72D64"/>
    <w:rsid w:val="00A731E2"/>
    <w:rsid w:val="00A86E54"/>
    <w:rsid w:val="00A91E20"/>
    <w:rsid w:val="00AA201D"/>
    <w:rsid w:val="00AB00A1"/>
    <w:rsid w:val="00AB0C11"/>
    <w:rsid w:val="00AB4D9F"/>
    <w:rsid w:val="00AC10D4"/>
    <w:rsid w:val="00AC6735"/>
    <w:rsid w:val="00AD2D20"/>
    <w:rsid w:val="00AD3CB9"/>
    <w:rsid w:val="00AE0BEF"/>
    <w:rsid w:val="00AE63F5"/>
    <w:rsid w:val="00AF02A9"/>
    <w:rsid w:val="00AF51CB"/>
    <w:rsid w:val="00B00A15"/>
    <w:rsid w:val="00B072F5"/>
    <w:rsid w:val="00B07D09"/>
    <w:rsid w:val="00B13077"/>
    <w:rsid w:val="00B17C54"/>
    <w:rsid w:val="00B2606B"/>
    <w:rsid w:val="00B319CF"/>
    <w:rsid w:val="00B32D9A"/>
    <w:rsid w:val="00B35D93"/>
    <w:rsid w:val="00B41B6A"/>
    <w:rsid w:val="00B41DDE"/>
    <w:rsid w:val="00B61950"/>
    <w:rsid w:val="00B707D7"/>
    <w:rsid w:val="00B764AA"/>
    <w:rsid w:val="00B767CC"/>
    <w:rsid w:val="00B81DC0"/>
    <w:rsid w:val="00B84CB4"/>
    <w:rsid w:val="00B853EE"/>
    <w:rsid w:val="00BA3076"/>
    <w:rsid w:val="00BA3943"/>
    <w:rsid w:val="00BB0134"/>
    <w:rsid w:val="00BB056A"/>
    <w:rsid w:val="00BB1047"/>
    <w:rsid w:val="00BB2BEF"/>
    <w:rsid w:val="00BB4DA1"/>
    <w:rsid w:val="00BB7154"/>
    <w:rsid w:val="00BC6B2A"/>
    <w:rsid w:val="00BD730C"/>
    <w:rsid w:val="00BE15C5"/>
    <w:rsid w:val="00BE69B5"/>
    <w:rsid w:val="00BF51C7"/>
    <w:rsid w:val="00BF5E55"/>
    <w:rsid w:val="00C001BB"/>
    <w:rsid w:val="00C0373D"/>
    <w:rsid w:val="00C07D73"/>
    <w:rsid w:val="00C26574"/>
    <w:rsid w:val="00C26E86"/>
    <w:rsid w:val="00C31AEB"/>
    <w:rsid w:val="00C31F18"/>
    <w:rsid w:val="00C363FF"/>
    <w:rsid w:val="00C408A9"/>
    <w:rsid w:val="00C43079"/>
    <w:rsid w:val="00C55DB4"/>
    <w:rsid w:val="00C56CE8"/>
    <w:rsid w:val="00C571D2"/>
    <w:rsid w:val="00C6434B"/>
    <w:rsid w:val="00C73DA3"/>
    <w:rsid w:val="00C7472B"/>
    <w:rsid w:val="00CA044D"/>
    <w:rsid w:val="00CA7870"/>
    <w:rsid w:val="00CB2A49"/>
    <w:rsid w:val="00CB620E"/>
    <w:rsid w:val="00CC2B74"/>
    <w:rsid w:val="00CD7D21"/>
    <w:rsid w:val="00CE4373"/>
    <w:rsid w:val="00CF3B33"/>
    <w:rsid w:val="00CF4721"/>
    <w:rsid w:val="00CF7DBF"/>
    <w:rsid w:val="00D01B73"/>
    <w:rsid w:val="00D04FE4"/>
    <w:rsid w:val="00D06C2E"/>
    <w:rsid w:val="00D07697"/>
    <w:rsid w:val="00D15D44"/>
    <w:rsid w:val="00D20072"/>
    <w:rsid w:val="00D245B9"/>
    <w:rsid w:val="00D32530"/>
    <w:rsid w:val="00D338CA"/>
    <w:rsid w:val="00D409B5"/>
    <w:rsid w:val="00D46538"/>
    <w:rsid w:val="00D52AA4"/>
    <w:rsid w:val="00D60B57"/>
    <w:rsid w:val="00D60F3B"/>
    <w:rsid w:val="00D64694"/>
    <w:rsid w:val="00D65D2B"/>
    <w:rsid w:val="00D670AF"/>
    <w:rsid w:val="00D71157"/>
    <w:rsid w:val="00D771A2"/>
    <w:rsid w:val="00D952C5"/>
    <w:rsid w:val="00D953C4"/>
    <w:rsid w:val="00DA0654"/>
    <w:rsid w:val="00DA199E"/>
    <w:rsid w:val="00DA3946"/>
    <w:rsid w:val="00DA681B"/>
    <w:rsid w:val="00DB00E3"/>
    <w:rsid w:val="00DB1F7F"/>
    <w:rsid w:val="00DC1C20"/>
    <w:rsid w:val="00DC1F1C"/>
    <w:rsid w:val="00DD43E0"/>
    <w:rsid w:val="00DD608D"/>
    <w:rsid w:val="00DD6C99"/>
    <w:rsid w:val="00DD7297"/>
    <w:rsid w:val="00DE5151"/>
    <w:rsid w:val="00DE61E8"/>
    <w:rsid w:val="00DE6D9F"/>
    <w:rsid w:val="00DE747F"/>
    <w:rsid w:val="00DF6EFD"/>
    <w:rsid w:val="00E049B6"/>
    <w:rsid w:val="00E05BE4"/>
    <w:rsid w:val="00E05E63"/>
    <w:rsid w:val="00E05F01"/>
    <w:rsid w:val="00E142A4"/>
    <w:rsid w:val="00E16512"/>
    <w:rsid w:val="00E20353"/>
    <w:rsid w:val="00E26BFA"/>
    <w:rsid w:val="00E30B09"/>
    <w:rsid w:val="00E32458"/>
    <w:rsid w:val="00E36706"/>
    <w:rsid w:val="00E455F0"/>
    <w:rsid w:val="00E462BA"/>
    <w:rsid w:val="00E502A2"/>
    <w:rsid w:val="00E509C2"/>
    <w:rsid w:val="00E52706"/>
    <w:rsid w:val="00E544AE"/>
    <w:rsid w:val="00E60028"/>
    <w:rsid w:val="00E633E9"/>
    <w:rsid w:val="00E654A5"/>
    <w:rsid w:val="00E66877"/>
    <w:rsid w:val="00E83158"/>
    <w:rsid w:val="00E84835"/>
    <w:rsid w:val="00E86AF2"/>
    <w:rsid w:val="00E910EE"/>
    <w:rsid w:val="00E91FCB"/>
    <w:rsid w:val="00E92040"/>
    <w:rsid w:val="00EA2048"/>
    <w:rsid w:val="00EA44D6"/>
    <w:rsid w:val="00EB764D"/>
    <w:rsid w:val="00EB7C25"/>
    <w:rsid w:val="00EB7E17"/>
    <w:rsid w:val="00EC0BA7"/>
    <w:rsid w:val="00EC0BC9"/>
    <w:rsid w:val="00ED1085"/>
    <w:rsid w:val="00ED31A0"/>
    <w:rsid w:val="00ED6F5F"/>
    <w:rsid w:val="00EE51BB"/>
    <w:rsid w:val="00EF1F16"/>
    <w:rsid w:val="00EF447A"/>
    <w:rsid w:val="00F012C6"/>
    <w:rsid w:val="00F04928"/>
    <w:rsid w:val="00F12698"/>
    <w:rsid w:val="00F128EF"/>
    <w:rsid w:val="00F14AE6"/>
    <w:rsid w:val="00F20101"/>
    <w:rsid w:val="00F247DC"/>
    <w:rsid w:val="00F26E30"/>
    <w:rsid w:val="00F37B31"/>
    <w:rsid w:val="00F467C6"/>
    <w:rsid w:val="00F5142E"/>
    <w:rsid w:val="00F52F9F"/>
    <w:rsid w:val="00F5330B"/>
    <w:rsid w:val="00F55444"/>
    <w:rsid w:val="00F60884"/>
    <w:rsid w:val="00F63708"/>
    <w:rsid w:val="00F66C5A"/>
    <w:rsid w:val="00F72543"/>
    <w:rsid w:val="00F75217"/>
    <w:rsid w:val="00F760E8"/>
    <w:rsid w:val="00F8147A"/>
    <w:rsid w:val="00F83BC0"/>
    <w:rsid w:val="00F8774A"/>
    <w:rsid w:val="00F94087"/>
    <w:rsid w:val="00F97ADD"/>
    <w:rsid w:val="00FA1211"/>
    <w:rsid w:val="00FA2ADD"/>
    <w:rsid w:val="00FA6BB6"/>
    <w:rsid w:val="00FB1DBC"/>
    <w:rsid w:val="00FB3F1C"/>
    <w:rsid w:val="00FB44E4"/>
    <w:rsid w:val="00FB5DA4"/>
    <w:rsid w:val="00FC3232"/>
    <w:rsid w:val="00FC3D25"/>
    <w:rsid w:val="00FC724F"/>
    <w:rsid w:val="00FC76BA"/>
    <w:rsid w:val="00FC76EC"/>
    <w:rsid w:val="00FD6244"/>
    <w:rsid w:val="00FD7B4A"/>
    <w:rsid w:val="00FE1E18"/>
    <w:rsid w:val="00FE2020"/>
    <w:rsid w:val="00FE7EC5"/>
    <w:rsid w:val="00FF7773"/>
    <w:rsid w:val="00FF7E7F"/>
    <w:rsid w:val="1EEBFC6F"/>
    <w:rsid w:val="7FFEC027"/>
    <w:rsid w:val="D1FC9E78"/>
    <w:rsid w:val="FEE5E5E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nhideWhenUsed="0" w:uiPriority="0" w:semiHidden="0" w:name="toa heading"/>
    <w:lsdException w:uiPriority="0" w:name="List"/>
    <w:lsdException w:uiPriority="0" w:name="List Bullet"/>
    <w:lsdException w:unhideWhenUsed="0" w:uiPriority="0" w:semiHidden="0" w:name="List Number"/>
    <w:lsdException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Hyperlink"/>
    <w:basedOn w:val="7"/>
    <w:unhideWhenUsed/>
    <w:uiPriority w:val="0"/>
    <w:rPr>
      <w:color w:val="0000FF" w:themeColor="hyperlink"/>
      <w:u w:val="single"/>
      <w14:textFill>
        <w14:solidFill>
          <w14:schemeClr w14:val="hlink"/>
        </w14:solidFill>
      </w14:textFill>
    </w:rPr>
  </w:style>
  <w:style w:type="paragraph" w:customStyle="1" w:styleId="9">
    <w:name w:val="列出段落1"/>
    <w:basedOn w:val="1"/>
    <w:uiPriority w:val="0"/>
    <w:pPr>
      <w:ind w:firstLine="420" w:firstLineChars="200"/>
    </w:pPr>
    <w:rPr>
      <w:rFonts w:ascii="Calibri" w:hAnsi="Calibri"/>
      <w:szCs w:val="22"/>
    </w:rPr>
  </w:style>
  <w:style w:type="paragraph" w:customStyle="1" w:styleId="10">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359</Words>
  <Characters>2047</Characters>
  <Lines>17</Lines>
  <Paragraphs>4</Paragraphs>
  <TotalTime>43</TotalTime>
  <ScaleCrop>false</ScaleCrop>
  <LinksUpToDate>false</LinksUpToDate>
  <CharactersWithSpaces>2402</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2020-06-17T16:35:00Z</dcterms:created>
  <dc:creator>微软用户</dc:creator>
  <cp:lastModifiedBy>郑璐</cp:lastModifiedBy>
  <cp:lastPrinted>2020-06-12T09:05:00Z</cp:lastPrinted>
  <dcterms:modified xsi:type="dcterms:W3CDTF">2020-06-17T17:22:54Z</dcterms:modified>
  <dc:title>证券代码：                               证券简称：</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