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Times New Roman"/>
          <w:bCs/>
          <w:i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iCs/>
          <w:color w:val="000000"/>
          <w:szCs w:val="21"/>
        </w:rPr>
        <w:t>证券代码：</w:t>
      </w:r>
      <w:r>
        <w:rPr>
          <w:rFonts w:ascii="宋体" w:hAnsi="宋体" w:eastAsia="宋体" w:cs="Times New Roman"/>
          <w:bCs/>
          <w:iCs/>
          <w:color w:val="000000"/>
          <w:szCs w:val="21"/>
        </w:rPr>
        <w:t xml:space="preserve">002702                                             </w:t>
      </w:r>
      <w:r>
        <w:rPr>
          <w:rFonts w:hint="eastAsia" w:ascii="宋体" w:hAnsi="宋体" w:eastAsia="宋体" w:cs="Times New Roman"/>
          <w:bCs/>
          <w:iCs/>
          <w:color w:val="000000"/>
          <w:szCs w:val="21"/>
        </w:rPr>
        <w:t>证券简称：海欣食品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iCs/>
          <w:color w:val="000000"/>
          <w:sz w:val="28"/>
          <w:szCs w:val="28"/>
        </w:rPr>
        <w:t>海欣食品股份有限公司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iCs/>
          <w:color w:val="000000"/>
          <w:sz w:val="28"/>
          <w:szCs w:val="28"/>
        </w:rPr>
        <w:t>投资者关系活动记录表</w:t>
      </w:r>
    </w:p>
    <w:p>
      <w:pPr>
        <w:ind w:firstLine="6930" w:firstLineChars="3300"/>
        <w:rPr>
          <w:rFonts w:hint="default" w:ascii="宋体" w:hAnsi="宋体" w:eastAsia="宋体" w:cs="Times New Roman"/>
          <w:bCs/>
          <w:i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iCs/>
          <w:color w:val="000000"/>
          <w:szCs w:val="21"/>
        </w:rPr>
        <w:t>编号：</w:t>
      </w:r>
      <w:r>
        <w:rPr>
          <w:rFonts w:ascii="宋体" w:hAnsi="宋体" w:eastAsia="宋体" w:cs="Times New Roman"/>
          <w:bCs/>
          <w:iCs/>
          <w:color w:val="000000"/>
          <w:szCs w:val="21"/>
        </w:rPr>
        <w:t>20</w:t>
      </w:r>
      <w:r>
        <w:rPr>
          <w:rFonts w:hint="eastAsia" w:ascii="宋体" w:hAnsi="宋体" w:eastAsia="宋体" w:cs="Times New Roman"/>
          <w:bCs/>
          <w:iCs/>
          <w:color w:val="000000"/>
          <w:szCs w:val="21"/>
        </w:rPr>
        <w:t>20</w:t>
      </w:r>
      <w:r>
        <w:rPr>
          <w:rFonts w:ascii="宋体" w:hAnsi="宋体" w:eastAsia="宋体" w:cs="Times New Roman"/>
          <w:bCs/>
          <w:iCs/>
          <w:color w:val="000000"/>
          <w:szCs w:val="21"/>
        </w:rPr>
        <w:t>-0</w:t>
      </w:r>
      <w:r>
        <w:rPr>
          <w:rFonts w:hint="eastAsia" w:ascii="宋体" w:hAnsi="宋体" w:eastAsia="宋体" w:cs="Times New Roman"/>
          <w:bCs/>
          <w:iCs/>
          <w:color w:val="000000"/>
          <w:szCs w:val="21"/>
          <w:lang w:val="en-US" w:eastAsia="zh-CN"/>
        </w:rPr>
        <w:t>20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szCs w:val="21"/>
              </w:rPr>
              <w:t>投资者关系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szCs w:val="21"/>
              </w:rPr>
              <w:t>活动类别</w:t>
            </w:r>
          </w:p>
        </w:tc>
        <w:tc>
          <w:tcPr>
            <w:tcW w:w="7513" w:type="dxa"/>
          </w:tcPr>
          <w:p>
            <w:pPr>
              <w:rPr>
                <w:rFonts w:ascii="宋体" w:hAnsi="宋体" w:eastAsia="宋体" w:cs="Times New Roman"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特定对象调研</w:t>
            </w:r>
            <w:r>
              <w:rPr>
                <w:rFonts w:hint="eastAsia" w:ascii="宋体" w:hAnsi="宋体" w:eastAsia="宋体" w:cs="Times New Roman"/>
                <w:bCs/>
                <w:iCs/>
                <w:color w:val="000000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分析师会议</w:t>
            </w:r>
          </w:p>
          <w:p>
            <w:pPr>
              <w:rPr>
                <w:rFonts w:ascii="宋体" w:hAnsi="宋体" w:eastAsia="宋体" w:cs="Times New Roman"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媒体采访</w:t>
            </w:r>
            <w:r>
              <w:rPr>
                <w:rFonts w:hint="eastAsia" w:ascii="宋体" w:hAnsi="宋体" w:eastAsia="宋体" w:cs="Times New Roman"/>
                <w:bCs/>
                <w:iCs/>
                <w:color w:val="000000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业绩说明会</w:t>
            </w:r>
          </w:p>
          <w:p>
            <w:pPr>
              <w:rPr>
                <w:rFonts w:ascii="宋体" w:hAnsi="宋体" w:eastAsia="宋体" w:cs="Times New Roman"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新闻发布会</w:t>
            </w:r>
            <w:r>
              <w:rPr>
                <w:rFonts w:hint="eastAsia" w:ascii="宋体" w:hAnsi="宋体" w:eastAsia="宋体" w:cs="Times New Roman"/>
                <w:bCs/>
                <w:iCs/>
                <w:color w:val="000000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路演活动</w:t>
            </w:r>
          </w:p>
          <w:p>
            <w:pPr>
              <w:tabs>
                <w:tab w:val="center" w:pos="3199"/>
              </w:tabs>
              <w:rPr>
                <w:rFonts w:ascii="宋体" w:hAnsi="宋体" w:eastAsia="宋体" w:cs="Times New Roman"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现场参观</w:t>
            </w:r>
            <w:r>
              <w:rPr>
                <w:rFonts w:hint="eastAsia" w:ascii="宋体" w:hAnsi="宋体" w:eastAsia="宋体" w:cs="Times New Roman"/>
                <w:bCs/>
                <w:iCs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其他（电话会议）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szCs w:val="21"/>
              </w:rPr>
              <w:t>参与单位名称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szCs w:val="21"/>
              </w:rPr>
              <w:t>及人员姓名</w:t>
            </w:r>
          </w:p>
        </w:tc>
        <w:tc>
          <w:tcPr>
            <w:tcW w:w="751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国金证券 刘宸倩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中欧基金 李维、成雨轩、王建礼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751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20年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0日下午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751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公司四楼会议室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szCs w:val="21"/>
              </w:rPr>
              <w:t>上市公司接待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szCs w:val="21"/>
              </w:rPr>
              <w:t>人员姓名</w:t>
            </w:r>
          </w:p>
        </w:tc>
        <w:tc>
          <w:tcPr>
            <w:tcW w:w="751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董事长 滕用庄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副总经理、董事会秘书 张颖娟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szCs w:val="21"/>
              </w:rPr>
              <w:t>投资者关系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szCs w:val="21"/>
              </w:rPr>
              <w:t>活动主要内容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szCs w:val="21"/>
              </w:rPr>
              <w:t>介绍</w:t>
            </w:r>
          </w:p>
        </w:tc>
        <w:tc>
          <w:tcPr>
            <w:tcW w:w="7513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1、简要介绍一下上半年的经营情况？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答：2020年上半年，公司围绕“资源整合、开源节流、共赢效益”的经营方针，有条不紊开展各项工作。报告期内，公司实现营业收入66,780.79万元，同比增长23.28%；综合毛利率25.22%，同比下降4.4个百分点；综合费用率17.09%，同比去年同期下降10.55个百分点（因执行新收入准则，营业收入、营业成本和费用的归集口径发生变化，还原至去年同期口径下，营业收入同比增长25.28%、综合毛利率提高1.97个百分点、费用率下降2.97个百分点）。报告期内，公司实现净利润4,259.42万元，同比增长507.21%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2、</w:t>
            </w:r>
            <w:r>
              <w:rPr>
                <w:rFonts w:hint="eastAsia" w:asciiTheme="minorEastAsia" w:hAnsiTheme="minorEastAsia"/>
                <w:sz w:val="24"/>
              </w:rPr>
              <w:t>公司近几年在产品、渠道、内部管理等方面有什么变化？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答：产品和品牌方面，公司近几年一直在努力提高中高端产品的占比，在C端渠道打造消费者品牌；渠道方面侧重发展连锁商超、B</w:t>
            </w:r>
            <w:r>
              <w:rPr>
                <w:rFonts w:ascii="Times New Roman" w:hAnsi="Times New Roman" w:eastAsia="宋体" w:cs="Times New Roman"/>
                <w:sz w:val="24"/>
                <w:szCs w:val="32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和电商等直营C端渠道；中高端产品和C端渠道的销售占比提高能够有效拉动公司整体毛利率提高，同时有利于树立公司差异化品牌形象。内部管理方面形成战略统一，围绕主业，优化产能布局，做大企业规模，降低费用率，提高盈利能力。通过合伙激励机制激发团队效能，提高执行力。此外公司也在探索通过协同叠加模式延伸和丰富产品品类，更好满足客户需求；同时注重人才引进，提高管理决策水平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3、公司如何有效提升净利润水平？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答：首先是公司产品结构的调整，扩大鱼极为代表的中高端战略品类的销售占比，其次利用协同叠加、租赁厂房和自建工厂的方式短中长期有效扩充产能，形成规模化效应，可以有效的降低部分费用与成本。再次是丰富公司现有的产品品类，满足客户一站式购物的需求。最后就是持续地做好渠道下沉工作，开拓区、县域市场，提高产品市场渗透力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4、下半年</w:t>
            </w:r>
            <w:r>
              <w:rPr>
                <w:rFonts w:ascii="Times New Roman" w:hAnsi="Times New Roman" w:eastAsia="宋体" w:cs="Times New Roman"/>
                <w:sz w:val="24"/>
                <w:szCs w:val="32"/>
              </w:rPr>
              <w:t xml:space="preserve">原材料价格走势判断如何？ 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32"/>
              </w:rPr>
              <w:t>答：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</w:rPr>
              <w:t>根据农业农村部的数据，近期猪肉价格已经涨到了年初高点。相关部门预计猪肉价格仍将在高位运行持续一段时间，但随着生猪存栏量增加以及进口供给加大，预计持续性大幅上涨可能性不大。鸡鸭肉目前维持低位运行。淀粉和鱼浆相对稳定，下半年可能略有上涨。包材上游有涨价，预计下半年会略有上涨。总体来说，主要原材料价格呈上涨趋势，但预计涨幅不会太大。原材料成本上涨压力小于去年同期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5、原材料的自给率及未来计划？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</w:rPr>
              <w:t>答：目前公司主要原材料中鱼浆有5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%左右是由公司全资子公司舟山腾新供应的。匹配未来产能扩张计划，公司去年在舟山新购置5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亩土地进行原材料工厂扩建。自建上游原材料鱼浆工厂，能够有效保障主要原材料鱼浆的稳定供应，降低原材料成本，保证原材料的品质。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szCs w:val="21"/>
              </w:rPr>
              <w:t>附件清单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szCs w:val="21"/>
              </w:rPr>
              <w:t>日期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sz w:val="24"/>
              </w:rPr>
              <w:t>2020年</w:t>
            </w:r>
            <w:r>
              <w:rPr>
                <w:rFonts w:ascii="宋体" w:hAnsi="宋体" w:eastAsia="宋体" w:cs="Times New Roman"/>
                <w:bCs/>
                <w:iCs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eastAsia="宋体" w:cs="Times New Roman"/>
                <w:bCs/>
                <w:iCs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bCs/>
                <w:iCs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52981"/>
    <w:rsid w:val="00001D85"/>
    <w:rsid w:val="00017387"/>
    <w:rsid w:val="000E35AE"/>
    <w:rsid w:val="001E0121"/>
    <w:rsid w:val="00227A6A"/>
    <w:rsid w:val="00396003"/>
    <w:rsid w:val="00471257"/>
    <w:rsid w:val="004A5018"/>
    <w:rsid w:val="00545CF5"/>
    <w:rsid w:val="00691CFA"/>
    <w:rsid w:val="006F22D3"/>
    <w:rsid w:val="007503C2"/>
    <w:rsid w:val="007C5BAE"/>
    <w:rsid w:val="00804AB6"/>
    <w:rsid w:val="00941B64"/>
    <w:rsid w:val="009E18A9"/>
    <w:rsid w:val="00BF6413"/>
    <w:rsid w:val="00D91836"/>
    <w:rsid w:val="00DD1C40"/>
    <w:rsid w:val="00DD4E3C"/>
    <w:rsid w:val="00F53A59"/>
    <w:rsid w:val="03865987"/>
    <w:rsid w:val="04C66547"/>
    <w:rsid w:val="174F3CFB"/>
    <w:rsid w:val="194434F4"/>
    <w:rsid w:val="232C3934"/>
    <w:rsid w:val="23570F0D"/>
    <w:rsid w:val="248747B4"/>
    <w:rsid w:val="251862F3"/>
    <w:rsid w:val="30F96BF7"/>
    <w:rsid w:val="3ADD2546"/>
    <w:rsid w:val="43C37482"/>
    <w:rsid w:val="4ABD2C78"/>
    <w:rsid w:val="50DB1A80"/>
    <w:rsid w:val="574050B2"/>
    <w:rsid w:val="598C5BD3"/>
    <w:rsid w:val="60F73242"/>
    <w:rsid w:val="669A0CB0"/>
    <w:rsid w:val="6EDE0EFD"/>
    <w:rsid w:val="72A55987"/>
    <w:rsid w:val="7705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1139</Characters>
  <Lines>9</Lines>
  <Paragraphs>2</Paragraphs>
  <TotalTime>259</TotalTime>
  <ScaleCrop>false</ScaleCrop>
  <LinksUpToDate>false</LinksUpToDate>
  <CharactersWithSpaces>1336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2020-06-29T03:01:00Z</dcterms:created>
  <dc:creator>一城之隔</dc:creator>
  <cp:lastModifiedBy>一城之隔</cp:lastModifiedBy>
  <dcterms:modified xsi:type="dcterms:W3CDTF">2020-08-20T09:16:25Z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