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eastAsia="宋体" w:cs="Times New Roman"/>
          <w:bCs/>
          <w:iCs/>
          <w:color w:val="000000"/>
          <w:szCs w:val="21"/>
        </w:rPr>
      </w:pPr>
      <w:r>
        <w:rPr>
          <w:rFonts w:hint="eastAsia" w:ascii="宋体" w:hAnsi="宋体" w:eastAsia="宋体" w:cs="Times New Roman"/>
          <w:bCs/>
          <w:iCs/>
          <w:color w:val="000000"/>
          <w:szCs w:val="21"/>
        </w:rPr>
        <w:t>证券代码：</w:t>
      </w:r>
      <w:r>
        <w:rPr>
          <w:rFonts w:ascii="宋体" w:hAnsi="宋体" w:eastAsia="宋体" w:cs="Times New Roman"/>
          <w:bCs/>
          <w:iCs/>
          <w:color w:val="000000"/>
          <w:szCs w:val="21"/>
        </w:rPr>
        <w:t xml:space="preserve">002702                                             </w:t>
      </w:r>
      <w:r>
        <w:rPr>
          <w:rFonts w:hint="eastAsia" w:ascii="宋体" w:hAnsi="宋体" w:eastAsia="宋体" w:cs="Times New Roman"/>
          <w:bCs/>
          <w:iCs/>
          <w:color w:val="000000"/>
          <w:szCs w:val="21"/>
        </w:rPr>
        <w:t>证券简称：海欣食品</w:t>
      </w:r>
    </w:p>
    <w:p>
      <w:pPr>
        <w:spacing w:line="360" w:lineRule="auto"/>
        <w:jc w:val="center"/>
        <w:rPr>
          <w:rFonts w:ascii="宋体" w:hAnsi="宋体" w:eastAsia="宋体" w:cs="Times New Roman"/>
          <w:b/>
          <w:bCs/>
          <w:iCs/>
          <w:color w:val="000000"/>
          <w:sz w:val="28"/>
          <w:szCs w:val="28"/>
        </w:rPr>
      </w:pPr>
      <w:r>
        <w:rPr>
          <w:rFonts w:hint="eastAsia" w:ascii="宋体" w:hAnsi="宋体" w:eastAsia="宋体" w:cs="Times New Roman"/>
          <w:b/>
          <w:bCs/>
          <w:iCs/>
          <w:color w:val="000000"/>
          <w:sz w:val="28"/>
          <w:szCs w:val="28"/>
        </w:rPr>
        <w:t>海欣食品股份有限公司</w:t>
      </w:r>
    </w:p>
    <w:p>
      <w:pPr>
        <w:spacing w:line="360" w:lineRule="auto"/>
        <w:jc w:val="center"/>
        <w:rPr>
          <w:rFonts w:ascii="宋体" w:hAnsi="宋体" w:eastAsia="宋体" w:cs="Times New Roman"/>
          <w:b/>
          <w:bCs/>
          <w:iCs/>
          <w:color w:val="000000"/>
          <w:sz w:val="28"/>
          <w:szCs w:val="28"/>
        </w:rPr>
      </w:pPr>
      <w:r>
        <w:rPr>
          <w:rFonts w:hint="eastAsia" w:ascii="宋体" w:hAnsi="宋体" w:eastAsia="宋体" w:cs="Times New Roman"/>
          <w:b/>
          <w:bCs/>
          <w:iCs/>
          <w:color w:val="000000"/>
          <w:sz w:val="28"/>
          <w:szCs w:val="28"/>
        </w:rPr>
        <w:t>投资者关系活动记录表</w:t>
      </w:r>
    </w:p>
    <w:p>
      <w:pPr>
        <w:ind w:firstLine="6930" w:firstLineChars="3300"/>
        <w:rPr>
          <w:rFonts w:hint="eastAsia" w:ascii="宋体" w:hAnsi="宋体" w:eastAsia="宋体" w:cs="Times New Roman"/>
          <w:bCs/>
          <w:iCs/>
          <w:color w:val="000000"/>
          <w:szCs w:val="21"/>
          <w:lang w:val="en-US" w:eastAsia="zh-CN"/>
        </w:rPr>
      </w:pPr>
      <w:r>
        <w:rPr>
          <w:rFonts w:hint="eastAsia" w:ascii="宋体" w:hAnsi="宋体" w:eastAsia="宋体" w:cs="Times New Roman"/>
          <w:bCs/>
          <w:iCs/>
          <w:color w:val="000000"/>
          <w:szCs w:val="21"/>
        </w:rPr>
        <w:t>编号：</w:t>
      </w:r>
      <w:r>
        <w:rPr>
          <w:rFonts w:ascii="宋体" w:hAnsi="宋体" w:eastAsia="宋体" w:cs="Times New Roman"/>
          <w:bCs/>
          <w:iCs/>
          <w:color w:val="000000"/>
          <w:szCs w:val="21"/>
        </w:rPr>
        <w:t>20</w:t>
      </w:r>
      <w:r>
        <w:rPr>
          <w:rFonts w:hint="eastAsia" w:ascii="宋体" w:hAnsi="宋体" w:eastAsia="宋体" w:cs="Times New Roman"/>
          <w:bCs/>
          <w:iCs/>
          <w:color w:val="000000"/>
          <w:szCs w:val="21"/>
        </w:rPr>
        <w:t>20</w:t>
      </w:r>
      <w:r>
        <w:rPr>
          <w:rFonts w:ascii="宋体" w:hAnsi="宋体" w:eastAsia="宋体" w:cs="Times New Roman"/>
          <w:bCs/>
          <w:iCs/>
          <w:color w:val="000000"/>
          <w:szCs w:val="21"/>
        </w:rPr>
        <w:t>-0</w:t>
      </w:r>
      <w:r>
        <w:rPr>
          <w:rFonts w:hint="eastAsia" w:ascii="宋体" w:hAnsi="宋体" w:eastAsia="宋体" w:cs="Times New Roman"/>
          <w:bCs/>
          <w:iCs/>
          <w:color w:val="000000"/>
          <w:szCs w:val="21"/>
        </w:rPr>
        <w:t>1</w:t>
      </w:r>
      <w:r>
        <w:rPr>
          <w:rFonts w:hint="eastAsia" w:ascii="宋体" w:hAnsi="宋体" w:eastAsia="宋体" w:cs="Times New Roman"/>
          <w:bCs/>
          <w:iCs/>
          <w:color w:val="000000"/>
          <w:szCs w:val="21"/>
          <w:lang w:val="en-US" w:eastAsia="zh-CN"/>
        </w:rPr>
        <w:t>9</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投资者关系</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活动类别</w:t>
            </w:r>
          </w:p>
        </w:tc>
        <w:tc>
          <w:tcPr>
            <w:tcW w:w="7513" w:type="dxa"/>
          </w:tcPr>
          <w:p>
            <w:pPr>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0052"/>
            </w:r>
            <w:r>
              <w:rPr>
                <w:rFonts w:hint="eastAsia" w:ascii="宋体" w:hAnsi="宋体" w:eastAsia="宋体" w:cs="Times New Roman"/>
                <w:color w:val="000000"/>
                <w:szCs w:val="21"/>
              </w:rPr>
              <w:t>特定对象调研</w:t>
            </w: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分析师会议</w:t>
            </w:r>
          </w:p>
          <w:p>
            <w:pPr>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媒体采访</w:t>
            </w: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业绩说明会</w:t>
            </w:r>
          </w:p>
          <w:p>
            <w:pPr>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新闻发布会</w:t>
            </w: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路演活动</w:t>
            </w:r>
          </w:p>
          <w:p>
            <w:pPr>
              <w:tabs>
                <w:tab w:val="center" w:pos="3199"/>
              </w:tabs>
              <w:rPr>
                <w:rFonts w:ascii="宋体" w:hAnsi="宋体" w:eastAsia="宋体" w:cs="Times New Roman"/>
                <w:bCs/>
                <w:iCs/>
                <w:color w:val="000000"/>
                <w:szCs w:val="21"/>
              </w:rPr>
            </w:pPr>
            <w:r>
              <w:rPr>
                <w:rFonts w:hint="eastAsia" w:ascii="宋体" w:hAnsi="宋体" w:eastAsia="宋体" w:cs="Times New Roman"/>
                <w:bCs/>
                <w:iCs/>
                <w:color w:val="000000"/>
                <w:szCs w:val="21"/>
              </w:rPr>
              <w:sym w:font="Wingdings 2" w:char="F0A3"/>
            </w:r>
            <w:r>
              <w:rPr>
                <w:rFonts w:hint="eastAsia" w:ascii="宋体" w:hAnsi="宋体" w:eastAsia="宋体" w:cs="Times New Roman"/>
                <w:color w:val="000000"/>
                <w:szCs w:val="21"/>
              </w:rPr>
              <w:t>现场参观</w:t>
            </w:r>
            <w:r>
              <w:rPr>
                <w:rFonts w:hint="eastAsia" w:ascii="宋体" w:hAnsi="宋体" w:eastAsia="宋体" w:cs="Times New Roman"/>
                <w:bCs/>
                <w:iCs/>
                <w:color w:val="000000"/>
                <w:szCs w:val="21"/>
              </w:rPr>
              <w:sym w:font="Wingdings 2" w:char="00A3"/>
            </w: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参与单位名称</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及人员姓名</w:t>
            </w:r>
          </w:p>
        </w:tc>
        <w:tc>
          <w:tcPr>
            <w:tcW w:w="7513" w:type="dxa"/>
            <w:vAlign w:val="center"/>
          </w:tcPr>
          <w:p>
            <w:pPr>
              <w:spacing w:line="36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顶天投资 潘显罡</w:t>
            </w:r>
          </w:p>
          <w:p>
            <w:pPr>
              <w:spacing w:line="36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红塔证券 念凌云 黄璐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时间</w:t>
            </w:r>
          </w:p>
        </w:tc>
        <w:tc>
          <w:tcPr>
            <w:tcW w:w="7513" w:type="dxa"/>
            <w:vAlign w:val="center"/>
          </w:tcPr>
          <w:p>
            <w:pPr>
              <w:autoSpaceDE w:val="0"/>
              <w:autoSpaceDN w:val="0"/>
              <w:adjustRightInd w:val="0"/>
              <w:rPr>
                <w:rFonts w:ascii="宋体" w:hAnsi="宋体" w:eastAsia="宋体" w:cs="宋体"/>
                <w:color w:val="000000"/>
                <w:sz w:val="24"/>
              </w:rPr>
            </w:pPr>
            <w:r>
              <w:rPr>
                <w:rFonts w:ascii="宋体" w:hAnsi="宋体" w:eastAsia="宋体" w:cs="宋体"/>
                <w:color w:val="000000"/>
                <w:sz w:val="24"/>
              </w:rPr>
              <w:t>20</w:t>
            </w:r>
            <w:r>
              <w:rPr>
                <w:rFonts w:hint="eastAsia" w:ascii="宋体" w:hAnsi="宋体" w:eastAsia="宋体" w:cs="宋体"/>
                <w:color w:val="000000"/>
                <w:sz w:val="24"/>
              </w:rPr>
              <w:t>20年8月</w:t>
            </w:r>
            <w:r>
              <w:rPr>
                <w:rFonts w:hint="eastAsia" w:ascii="宋体" w:hAnsi="宋体" w:eastAsia="宋体" w:cs="宋体"/>
                <w:color w:val="000000"/>
                <w:sz w:val="24"/>
                <w:lang w:val="en-US" w:eastAsia="zh-CN"/>
              </w:rPr>
              <w:t>13</w:t>
            </w:r>
            <w:r>
              <w:rPr>
                <w:rFonts w:hint="eastAsia" w:ascii="宋体" w:hAnsi="宋体" w:eastAsia="宋体" w:cs="宋体"/>
                <w:color w:val="000000"/>
                <w:sz w:val="24"/>
              </w:rPr>
              <w:t>日上午10：00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地点</w:t>
            </w:r>
          </w:p>
        </w:tc>
        <w:tc>
          <w:tcPr>
            <w:tcW w:w="7513" w:type="dxa"/>
            <w:vAlign w:val="center"/>
          </w:tcPr>
          <w:p>
            <w:pPr>
              <w:autoSpaceDE w:val="0"/>
              <w:autoSpaceDN w:val="0"/>
              <w:adjustRightInd w:val="0"/>
              <w:rPr>
                <w:rFonts w:hint="eastAsia" w:ascii="宋体" w:hAnsi="宋体" w:eastAsia="宋体" w:cs="宋体"/>
                <w:color w:val="000000"/>
                <w:sz w:val="24"/>
                <w:lang w:eastAsia="zh-CN"/>
              </w:rPr>
            </w:pPr>
            <w:r>
              <w:rPr>
                <w:rFonts w:hint="eastAsia" w:ascii="宋体" w:hAnsi="宋体" w:eastAsia="宋体" w:cs="宋体"/>
                <w:color w:val="000000"/>
                <w:sz w:val="24"/>
              </w:rPr>
              <w:t>公司</w:t>
            </w:r>
            <w:r>
              <w:rPr>
                <w:rFonts w:hint="eastAsia" w:ascii="宋体" w:hAnsi="宋体" w:eastAsia="宋体" w:cs="宋体"/>
                <w:color w:val="000000"/>
                <w:sz w:val="24"/>
                <w:lang w:val="en-US" w:eastAsia="zh-CN"/>
              </w:rPr>
              <w:t>一楼博物馆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上市公司接待</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人员姓名</w:t>
            </w:r>
          </w:p>
        </w:tc>
        <w:tc>
          <w:tcPr>
            <w:tcW w:w="7513" w:type="dxa"/>
            <w:vAlign w:val="center"/>
          </w:tcPr>
          <w:p>
            <w:pPr>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副总经理、董事会秘书</w:t>
            </w:r>
            <w:r>
              <w:rPr>
                <w:rFonts w:hint="eastAsia" w:ascii="Times New Roman" w:hAnsi="Times New Roman" w:eastAsia="宋体" w:cs="Times New Roman"/>
                <w:sz w:val="24"/>
              </w:rPr>
              <w:t xml:space="preserve"> 张颖娟</w:t>
            </w:r>
          </w:p>
          <w:p>
            <w:pPr>
              <w:spacing w:line="36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证券专员 程海敏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投资者关系</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活动主要内容</w:t>
            </w:r>
          </w:p>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介绍</w:t>
            </w:r>
          </w:p>
        </w:tc>
        <w:tc>
          <w:tcPr>
            <w:tcW w:w="7513" w:type="dxa"/>
          </w:tcPr>
          <w:p>
            <w:pPr>
              <w:spacing w:line="360" w:lineRule="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一、签署《特定对象与上市公司直接沟通承诺书》</w:t>
            </w:r>
          </w:p>
          <w:p>
            <w:pPr>
              <w:spacing w:line="360" w:lineRule="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二、参观公司鱼丸博物馆</w:t>
            </w:r>
          </w:p>
          <w:p>
            <w:pPr>
              <w:spacing w:line="360" w:lineRule="auto"/>
              <w:rPr>
                <w:rFonts w:ascii="宋体" w:hAnsi="宋体" w:eastAsia="宋体" w:cs="宋体"/>
                <w:sz w:val="24"/>
                <w:szCs w:val="24"/>
                <w:shd w:val="clear" w:color="auto" w:fill="FFFFFF"/>
              </w:rPr>
            </w:pPr>
            <w:r>
              <w:rPr>
                <w:rFonts w:hint="eastAsia" w:ascii="宋体" w:hAnsi="宋体" w:eastAsia="宋体" w:cs="宋体"/>
                <w:b/>
                <w:color w:val="000000"/>
                <w:kern w:val="0"/>
                <w:sz w:val="24"/>
                <w:szCs w:val="24"/>
              </w:rPr>
              <w:t>三、主要交流内容</w:t>
            </w:r>
          </w:p>
          <w:p>
            <w:pPr>
              <w:tabs>
                <w:tab w:val="left" w:pos="409"/>
              </w:tabs>
              <w:spacing w:line="360" w:lineRule="auto"/>
              <w:ind w:firstLine="480" w:firstLineChars="200"/>
              <w:rPr>
                <w:rFonts w:hint="eastAsia" w:ascii="Times New Roman" w:hAnsi="Times New Roman" w:eastAsia="宋体" w:cs="Times New Roman"/>
                <w:sz w:val="24"/>
                <w:szCs w:val="32"/>
                <w:lang w:val="en-US" w:eastAsia="zh-CN"/>
              </w:rPr>
            </w:pPr>
          </w:p>
          <w:p>
            <w:pPr>
              <w:tabs>
                <w:tab w:val="left" w:pos="409"/>
              </w:tabs>
              <w:spacing w:line="360" w:lineRule="auto"/>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lang w:val="en-US" w:eastAsia="zh-CN"/>
              </w:rPr>
              <w:t>1、</w:t>
            </w:r>
            <w:r>
              <w:rPr>
                <w:rFonts w:hint="eastAsia" w:ascii="Times New Roman" w:hAnsi="Times New Roman" w:eastAsia="宋体" w:cs="Times New Roman"/>
                <w:sz w:val="24"/>
                <w:szCs w:val="32"/>
                <w:lang w:eastAsia="zh-CN"/>
              </w:rPr>
              <w:t>行业发展趋势？</w:t>
            </w:r>
          </w:p>
          <w:p>
            <w:pPr>
              <w:tabs>
                <w:tab w:val="left" w:pos="409"/>
              </w:tabs>
              <w:spacing w:line="360" w:lineRule="auto"/>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lang w:eastAsia="zh-CN"/>
              </w:rPr>
              <w:t>答：（1）行业保持基本实现10%以上增速，驱动因素包括城镇化水平的提高、生活节奏加快，以及宅经济和懒人经济的增长趋势，并参考我国人均消费量与发达国家差异水平，叠加消费场景的多样化（包括火锅、关东煮、烧烤、串串以及便利店和外卖等多种形式的）</w:t>
            </w:r>
          </w:p>
          <w:p>
            <w:pPr>
              <w:tabs>
                <w:tab w:val="left" w:pos="409"/>
              </w:tabs>
              <w:spacing w:line="360" w:lineRule="auto"/>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lang w:eastAsia="zh-CN"/>
              </w:rPr>
              <w:t>（2）消费升级，中高端产品市场空间大（疫情催化，消费者更加重视品牌和品质，倾向于小包装、正规渠道、原材料标识规范、营养价值高的产品）</w:t>
            </w:r>
          </w:p>
          <w:p>
            <w:pPr>
              <w:tabs>
                <w:tab w:val="left" w:pos="409"/>
              </w:tabs>
              <w:spacing w:line="360" w:lineRule="auto"/>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lang w:eastAsia="zh-CN"/>
              </w:rPr>
              <w:t>（3）行业两极分化趋势不变，疫情加速洗牌进程。国家生产环保政策监管趋严、消费者选择偏好改变、渠道网络单一企业竞争力弱。具备品牌、渠道、研发和资金优势企业获得更多市占率。</w:t>
            </w:r>
          </w:p>
          <w:p>
            <w:pPr>
              <w:tabs>
                <w:tab w:val="left" w:pos="409"/>
              </w:tabs>
              <w:spacing w:line="360" w:lineRule="auto"/>
              <w:rPr>
                <w:rFonts w:hint="eastAsia" w:ascii="Times New Roman" w:hAnsi="Times New Roman" w:eastAsia="宋体" w:cs="Times New Roman"/>
                <w:sz w:val="24"/>
                <w:szCs w:val="32"/>
                <w:lang w:eastAsia="zh-CN"/>
              </w:rPr>
            </w:pPr>
          </w:p>
          <w:p>
            <w:pPr>
              <w:spacing w:line="360" w:lineRule="auto"/>
              <w:ind w:firstLine="480" w:firstLineChars="200"/>
              <w:rPr>
                <w:rFonts w:hint="eastAsia" w:ascii="Times New Roman" w:hAnsi="Times New Roman"/>
                <w:sz w:val="24"/>
              </w:rPr>
            </w:pPr>
            <w:r>
              <w:rPr>
                <w:rFonts w:hint="eastAsia" w:ascii="Times New Roman" w:hAnsi="Times New Roman" w:eastAsia="宋体" w:cs="Times New Roman"/>
                <w:sz w:val="24"/>
                <w:szCs w:val="32"/>
                <w:lang w:val="en-US" w:eastAsia="zh-CN"/>
              </w:rPr>
              <w:t>2、</w:t>
            </w:r>
            <w:r>
              <w:rPr>
                <w:rFonts w:hint="eastAsia" w:ascii="Times New Roman" w:hAnsi="Times New Roman"/>
                <w:sz w:val="24"/>
              </w:rPr>
              <w:t>公司如何有效提升净利润水平？</w:t>
            </w:r>
          </w:p>
          <w:p>
            <w:pPr>
              <w:spacing w:line="360" w:lineRule="auto"/>
              <w:ind w:firstLine="480" w:firstLineChars="200"/>
              <w:rPr>
                <w:rFonts w:hint="eastAsia" w:ascii="Times New Roman" w:hAnsi="Times New Roman" w:cs="Times New Roman" w:eastAsiaTheme="minorEastAsia"/>
                <w:sz w:val="24"/>
                <w:szCs w:val="32"/>
                <w:lang w:val="en-US" w:eastAsia="zh-CN"/>
              </w:rPr>
            </w:pPr>
            <w:r>
              <w:rPr>
                <w:rFonts w:hint="eastAsia" w:ascii="Times New Roman" w:hAnsi="Times New Roman"/>
                <w:sz w:val="24"/>
              </w:rPr>
              <w:t>答：首先是公司产品结构的调整，扩大鱼极</w:t>
            </w:r>
            <w:r>
              <w:rPr>
                <w:rFonts w:hint="eastAsia" w:ascii="Times New Roman" w:hAnsi="Times New Roman"/>
                <w:sz w:val="24"/>
                <w:lang w:eastAsia="zh-CN"/>
              </w:rPr>
              <w:t>、</w:t>
            </w:r>
            <w:r>
              <w:rPr>
                <w:rFonts w:hint="eastAsia" w:ascii="Times New Roman" w:hAnsi="Times New Roman"/>
                <w:sz w:val="24"/>
                <w:lang w:val="en-US" w:eastAsia="zh-CN"/>
              </w:rPr>
              <w:t>优选系列</w:t>
            </w:r>
            <w:r>
              <w:rPr>
                <w:rFonts w:hint="eastAsia" w:ascii="Times New Roman" w:hAnsi="Times New Roman"/>
                <w:sz w:val="24"/>
              </w:rPr>
              <w:t>为代表的中高端战略品类的销售占比，其次利用协同叠加、租赁厂房和自建工厂的方式短中长期有效扩充产能，形成规模化效应，可以有效的降低部分费用与成本。再次是丰富公司现有的产品品类，满足客户一站式购物的需求。最后就是持续地做好渠道下沉工作，开拓区、县域市场，提高产品市场渗透力。</w:t>
            </w:r>
            <w:r>
              <w:rPr>
                <w:rFonts w:hint="eastAsia" w:ascii="Times New Roman" w:hAnsi="Times New Roman"/>
                <w:sz w:val="24"/>
                <w:lang w:val="en-US" w:eastAsia="zh-CN"/>
              </w:rPr>
              <w:t xml:space="preserve"> </w:t>
            </w:r>
          </w:p>
          <w:p>
            <w:pPr>
              <w:spacing w:line="360" w:lineRule="auto"/>
              <w:ind w:firstLine="480" w:firstLineChars="200"/>
              <w:rPr>
                <w:rFonts w:ascii="Times New Roman" w:hAnsi="Times New Roman" w:eastAsia="宋体" w:cs="Times New Roman"/>
                <w:sz w:val="24"/>
                <w:szCs w:val="32"/>
              </w:rPr>
            </w:pPr>
          </w:p>
          <w:p>
            <w:pPr>
              <w:spacing w:line="360" w:lineRule="auto"/>
              <w:ind w:firstLine="480" w:firstLineChars="20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3、目前的产能缺口有哪些应对措施？</w:t>
            </w:r>
          </w:p>
          <w:p>
            <w:pPr>
              <w:spacing w:line="360" w:lineRule="auto"/>
              <w:ind w:firstLine="480" w:firstLineChars="20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答：短期来说，将通过租赁厂房以及协同叠加模式来补充产能，可以采用轻资产的方式来迅速扩建产能，深入销售区域，实现快速布局，未来也将继续筛选合适的区域和厂址来以租赁厂房的方式来实现快速投产。长期来说，连江工厂和舟山工厂会是公司未来重要的产成品基地和原料基地，前述两个项目均处于前期开工建设准备工作中，预计下半年将会开始陆续动工建设。</w:t>
            </w:r>
          </w:p>
          <w:p>
            <w:pPr>
              <w:spacing w:line="360" w:lineRule="auto"/>
              <w:ind w:firstLine="480" w:firstLineChars="200"/>
              <w:rPr>
                <w:rFonts w:hint="eastAsia" w:ascii="Times New Roman" w:hAnsi="Times New Roman" w:eastAsia="宋体" w:cs="Times New Roman"/>
                <w:sz w:val="24"/>
                <w:szCs w:val="32"/>
                <w:lang w:val="en-US" w:eastAsia="zh-CN"/>
              </w:rPr>
            </w:pPr>
          </w:p>
          <w:p>
            <w:pPr>
              <w:spacing w:line="360" w:lineRule="auto"/>
              <w:ind w:firstLine="480" w:firstLineChars="2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4、公司整体的运输费用较高的原因？</w:t>
            </w:r>
          </w:p>
          <w:p>
            <w:pPr>
              <w:spacing w:line="360" w:lineRule="auto"/>
              <w:ind w:firstLine="480" w:firstLineChars="2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答：公司现有生产基地主要是分布福建和浙江，工厂布局导致运输半径比较大，同时公司销售规模比较小，费用率相对较高。未来通过租赁或自建的模式优化产能布局，同时公司销售规模扩大，运输费用率有较大的下降空间。</w:t>
            </w:r>
          </w:p>
          <w:p>
            <w:pPr>
              <w:spacing w:line="360" w:lineRule="auto"/>
              <w:ind w:firstLine="480" w:firstLineChars="200"/>
              <w:rPr>
                <w:rFonts w:hint="eastAsia" w:ascii="Times New Roman" w:hAnsi="Times New Roman" w:eastAsia="宋体" w:cs="Times New Roman"/>
                <w:sz w:val="24"/>
                <w:szCs w:val="32"/>
              </w:rPr>
            </w:pPr>
          </w:p>
          <w:p>
            <w:pPr>
              <w:spacing w:line="360" w:lineRule="auto"/>
              <w:ind w:firstLine="480" w:firstLineChars="20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5、简单解释一下因会计准则调整毛利率和销售费用率的变化？</w:t>
            </w:r>
          </w:p>
          <w:p>
            <w:pPr>
              <w:spacing w:line="360" w:lineRule="auto"/>
              <w:ind w:firstLine="480" w:firstLineChars="20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答：新收入准则的运用，将折扣折让、返点，不计入销售费用，而直接冲抵销售收入，造成毛利率下降、销售费率下降的现象。还原至去年同期口径下，营业收入同比增长25.28%、综合毛利率提高1.97个百分点、费用率下降2.97个百分点。</w:t>
            </w:r>
          </w:p>
          <w:p>
            <w:pPr>
              <w:spacing w:line="360" w:lineRule="auto"/>
              <w:ind w:firstLine="480" w:firstLineChars="200"/>
              <w:rPr>
                <w:rFonts w:ascii="Times New Roman" w:hAnsi="Times New Roman" w:eastAsia="宋体" w:cs="Times New Roman"/>
                <w:sz w:val="24"/>
                <w:szCs w:val="32"/>
              </w:rPr>
            </w:pPr>
          </w:p>
          <w:p>
            <w:pPr>
              <w:spacing w:line="360" w:lineRule="auto"/>
              <w:ind w:firstLine="480" w:firstLineChars="200"/>
              <w:rPr>
                <w:rFonts w:ascii="Times New Roman" w:hAnsi="Times New Roman" w:eastAsia="宋体"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附件清单</w:t>
            </w:r>
          </w:p>
        </w:tc>
        <w:tc>
          <w:tcPr>
            <w:tcW w:w="7513" w:type="dxa"/>
            <w:vAlign w:val="center"/>
          </w:tcPr>
          <w:p>
            <w:pPr>
              <w:rPr>
                <w:rFonts w:ascii="宋体" w:hAnsi="宋体" w:eastAsia="宋体" w:cs="Times New Roman"/>
                <w:bCs/>
                <w:iCs/>
                <w:color w:val="000000"/>
                <w:sz w:val="24"/>
              </w:rPr>
            </w:pPr>
            <w:r>
              <w:rPr>
                <w:rFonts w:hint="eastAsia" w:ascii="宋体" w:hAnsi="宋体" w:eastAsia="宋体" w:cs="Times New Roman"/>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26" w:type="dxa"/>
            <w:vAlign w:val="center"/>
          </w:tcPr>
          <w:p>
            <w:pPr>
              <w:jc w:val="center"/>
              <w:rPr>
                <w:rFonts w:ascii="宋体" w:hAnsi="宋体" w:eastAsia="宋体" w:cs="Times New Roman"/>
                <w:b/>
                <w:bCs/>
                <w:iCs/>
                <w:color w:val="000000"/>
                <w:szCs w:val="21"/>
              </w:rPr>
            </w:pPr>
            <w:r>
              <w:rPr>
                <w:rFonts w:hint="eastAsia" w:ascii="宋体" w:hAnsi="宋体" w:eastAsia="宋体" w:cs="Times New Roman"/>
                <w:b/>
                <w:bCs/>
                <w:iCs/>
                <w:color w:val="000000"/>
                <w:szCs w:val="21"/>
              </w:rPr>
              <w:t>日期</w:t>
            </w:r>
          </w:p>
        </w:tc>
        <w:tc>
          <w:tcPr>
            <w:tcW w:w="7513" w:type="dxa"/>
            <w:vAlign w:val="center"/>
          </w:tcPr>
          <w:p>
            <w:pPr>
              <w:rPr>
                <w:rFonts w:ascii="宋体" w:hAnsi="宋体" w:eastAsia="宋体" w:cs="Times New Roman"/>
                <w:bCs/>
                <w:iCs/>
                <w:color w:val="000000"/>
                <w:sz w:val="24"/>
              </w:rPr>
            </w:pPr>
            <w:r>
              <w:rPr>
                <w:rFonts w:hint="eastAsia" w:ascii="宋体" w:hAnsi="宋体" w:eastAsia="宋体" w:cs="Times New Roman"/>
                <w:bCs/>
                <w:iCs/>
                <w:color w:val="000000"/>
                <w:sz w:val="24"/>
              </w:rPr>
              <w:t>2020年8月</w:t>
            </w:r>
            <w:r>
              <w:rPr>
                <w:rFonts w:hint="eastAsia" w:ascii="宋体" w:hAnsi="宋体" w:eastAsia="宋体" w:cs="Times New Roman"/>
                <w:bCs/>
                <w:iCs/>
                <w:color w:val="000000"/>
                <w:sz w:val="24"/>
                <w:lang w:val="en-US" w:eastAsia="zh-CN"/>
              </w:rPr>
              <w:t>13</w:t>
            </w:r>
            <w:r>
              <w:rPr>
                <w:rFonts w:hint="eastAsia" w:ascii="宋体" w:hAnsi="宋体" w:eastAsia="宋体" w:cs="Times New Roman"/>
                <w:bCs/>
                <w:iCs/>
                <w:color w:val="000000"/>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86B"/>
    <w:rsid w:val="000E35AE"/>
    <w:rsid w:val="0011170F"/>
    <w:rsid w:val="001326CE"/>
    <w:rsid w:val="00584E14"/>
    <w:rsid w:val="006829EF"/>
    <w:rsid w:val="007C0263"/>
    <w:rsid w:val="007C5BAE"/>
    <w:rsid w:val="008F3FBF"/>
    <w:rsid w:val="009F7E1D"/>
    <w:rsid w:val="00BA009B"/>
    <w:rsid w:val="00C77317"/>
    <w:rsid w:val="00FB3FD1"/>
    <w:rsid w:val="03865987"/>
    <w:rsid w:val="04C66547"/>
    <w:rsid w:val="099435B1"/>
    <w:rsid w:val="11B26298"/>
    <w:rsid w:val="174F3CFB"/>
    <w:rsid w:val="194434F4"/>
    <w:rsid w:val="1D767B6C"/>
    <w:rsid w:val="20AA4BEF"/>
    <w:rsid w:val="232C3934"/>
    <w:rsid w:val="248747B4"/>
    <w:rsid w:val="251862F3"/>
    <w:rsid w:val="25AA715B"/>
    <w:rsid w:val="27E7749F"/>
    <w:rsid w:val="30F96BF7"/>
    <w:rsid w:val="362321B4"/>
    <w:rsid w:val="372708EF"/>
    <w:rsid w:val="3841266F"/>
    <w:rsid w:val="3ADD2546"/>
    <w:rsid w:val="3F7C5DCD"/>
    <w:rsid w:val="400B0D29"/>
    <w:rsid w:val="40B259E0"/>
    <w:rsid w:val="43B54917"/>
    <w:rsid w:val="43C37482"/>
    <w:rsid w:val="4ABD2C78"/>
    <w:rsid w:val="4B1D43C1"/>
    <w:rsid w:val="50602CB0"/>
    <w:rsid w:val="50DB1A80"/>
    <w:rsid w:val="5973539C"/>
    <w:rsid w:val="598C5BD3"/>
    <w:rsid w:val="60F73242"/>
    <w:rsid w:val="669A0CB0"/>
    <w:rsid w:val="69CC6415"/>
    <w:rsid w:val="6EDE0EFD"/>
    <w:rsid w:val="72A55987"/>
    <w:rsid w:val="77052981"/>
    <w:rsid w:val="782B6054"/>
    <w:rsid w:val="78962C03"/>
    <w:rsid w:val="79572714"/>
    <w:rsid w:val="7AE7132E"/>
    <w:rsid w:val="7C6D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1355</Characters>
  <Lines>11</Lines>
  <Paragraphs>3</Paragraphs>
  <TotalTime>18</TotalTime>
  <ScaleCrop>false</ScaleCrop>
  <LinksUpToDate>false</LinksUpToDate>
  <CharactersWithSpaces>1589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2020-06-29T03:01:00Z</dcterms:created>
  <dc:creator>一城之隔</dc:creator>
  <cp:lastModifiedBy>一城之隔</cp:lastModifiedBy>
  <dcterms:modified xsi:type="dcterms:W3CDTF">2020-08-13T08:07:33Z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