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C1A28" w14:textId="77777777" w:rsidR="00CE2BF6" w:rsidRPr="00027983" w:rsidRDefault="00CE2BF6" w:rsidP="00CE2BF6">
      <w:pPr>
        <w:pStyle w:val="Default"/>
        <w:spacing w:line="360" w:lineRule="exact"/>
        <w:jc w:val="center"/>
        <w:rPr>
          <w:rFonts w:ascii="楷体" w:eastAsia="楷体" w:hAnsi="楷体" w:cs="宋体"/>
          <w:b/>
          <w:bCs/>
          <w:szCs w:val="28"/>
        </w:rPr>
      </w:pPr>
      <w:r w:rsidRPr="00027983">
        <w:rPr>
          <w:rFonts w:ascii="楷体" w:eastAsia="楷体" w:hAnsi="楷体" w:cs="宋体" w:hint="eastAsia"/>
          <w:b/>
          <w:bCs/>
          <w:szCs w:val="28"/>
        </w:rPr>
        <w:t>天合光能股份有限公司</w:t>
      </w:r>
    </w:p>
    <w:p w14:paraId="0E344B93" w14:textId="77777777" w:rsidR="00CE2BF6" w:rsidRPr="00027983" w:rsidRDefault="00CE2BF6" w:rsidP="00CE2BF6">
      <w:pPr>
        <w:pStyle w:val="Default"/>
        <w:spacing w:line="360" w:lineRule="exact"/>
        <w:jc w:val="center"/>
        <w:rPr>
          <w:rFonts w:ascii="楷体" w:eastAsia="楷体" w:hAnsi="楷体" w:cs="宋体"/>
          <w:b/>
          <w:bCs/>
          <w:szCs w:val="28"/>
        </w:rPr>
      </w:pPr>
      <w:r w:rsidRPr="00027983">
        <w:rPr>
          <w:rFonts w:ascii="楷体" w:eastAsia="楷体" w:hAnsi="楷体" w:cs="宋体" w:hint="eastAsia"/>
          <w:b/>
          <w:bCs/>
          <w:szCs w:val="28"/>
        </w:rPr>
        <w:t>投资者关系活动记录表</w:t>
      </w:r>
    </w:p>
    <w:p w14:paraId="0743EE1E" w14:textId="7BC57DEC" w:rsidR="00CE2BF6" w:rsidRPr="00027983" w:rsidRDefault="00CE2BF6" w:rsidP="00CE2BF6">
      <w:pPr>
        <w:wordWrap w:val="0"/>
        <w:spacing w:line="360" w:lineRule="auto"/>
        <w:jc w:val="right"/>
        <w:rPr>
          <w:rFonts w:ascii="楷体" w:eastAsia="楷体" w:hAnsi="楷体" w:cs="Times New Roman"/>
          <w:sz w:val="22"/>
        </w:rPr>
      </w:pPr>
      <w:r w:rsidRPr="00027983">
        <w:rPr>
          <w:rFonts w:ascii="楷体" w:eastAsia="楷体" w:hAnsi="楷体" w:cs="Times New Roman" w:hint="eastAsia"/>
          <w:sz w:val="22"/>
        </w:rPr>
        <w:t xml:space="preserve"> </w:t>
      </w:r>
      <w:r w:rsidRPr="00027983">
        <w:rPr>
          <w:rFonts w:ascii="楷体" w:eastAsia="楷体" w:hAnsi="楷体" w:cs="Times New Roman"/>
          <w:sz w:val="22"/>
        </w:rPr>
        <w:t xml:space="preserve">     </w:t>
      </w:r>
      <w:r w:rsidRPr="00027983">
        <w:rPr>
          <w:rFonts w:ascii="楷体" w:eastAsia="楷体" w:hAnsi="楷体" w:cs="Times New Roman" w:hint="eastAsia"/>
          <w:sz w:val="22"/>
        </w:rPr>
        <w:t>编号</w:t>
      </w:r>
      <w:r w:rsidRPr="00027983">
        <w:rPr>
          <w:rFonts w:ascii="楷体" w:eastAsia="楷体" w:hAnsi="楷体" w:cs="Times New Roman"/>
          <w:sz w:val="22"/>
        </w:rPr>
        <w:t>：</w:t>
      </w:r>
      <w:r w:rsidRPr="00027983">
        <w:rPr>
          <w:rFonts w:ascii="楷体" w:eastAsia="楷体" w:hAnsi="楷体" w:cs="Times New Roman" w:hint="eastAsia"/>
          <w:sz w:val="22"/>
        </w:rPr>
        <w:t>2</w:t>
      </w:r>
      <w:r w:rsidRPr="00027983">
        <w:rPr>
          <w:rFonts w:ascii="楷体" w:eastAsia="楷体" w:hAnsi="楷体" w:cs="Times New Roman"/>
          <w:sz w:val="22"/>
        </w:rPr>
        <w:t>020</w:t>
      </w:r>
      <w:r w:rsidRPr="00027983">
        <w:rPr>
          <w:rFonts w:ascii="楷体" w:eastAsia="楷体" w:hAnsi="楷体" w:cs="Times New Roman" w:hint="eastAsia"/>
          <w:sz w:val="22"/>
        </w:rPr>
        <w:t>-</w:t>
      </w:r>
      <w:r w:rsidR="0062025D">
        <w:rPr>
          <w:rFonts w:ascii="楷体" w:eastAsia="楷体" w:hAnsi="楷体" w:cs="Times New Roman" w:hint="eastAsia"/>
          <w:sz w:val="22"/>
        </w:rPr>
        <w:t>0</w:t>
      </w:r>
      <w:r w:rsidR="0062025D">
        <w:rPr>
          <w:rFonts w:ascii="楷体" w:eastAsia="楷体" w:hAnsi="楷体" w:cs="Times New Roman"/>
          <w:sz w:val="22"/>
        </w:rPr>
        <w:t>02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CE2BF6" w:rsidRPr="00027983" w14:paraId="60CF5F23" w14:textId="77777777" w:rsidTr="00D927D8">
        <w:trPr>
          <w:trHeight w:val="1926"/>
        </w:trPr>
        <w:tc>
          <w:tcPr>
            <w:tcW w:w="1838" w:type="dxa"/>
            <w:vAlign w:val="center"/>
          </w:tcPr>
          <w:p w14:paraId="5412B2B7" w14:textId="77777777" w:rsidR="00CE2BF6" w:rsidRPr="00027983" w:rsidRDefault="00CE2BF6" w:rsidP="00D927D8">
            <w:pPr>
              <w:spacing w:line="360" w:lineRule="exact"/>
              <w:jc w:val="center"/>
              <w:rPr>
                <w:rFonts w:ascii="楷体" w:eastAsia="楷体" w:hAnsi="楷体" w:cs="Times New Roman"/>
                <w:b/>
                <w:bCs/>
                <w:sz w:val="22"/>
              </w:rPr>
            </w:pPr>
            <w:r w:rsidRPr="00027983">
              <w:rPr>
                <w:rFonts w:ascii="楷体" w:eastAsia="楷体" w:hAnsi="楷体" w:cs="Times New Roman" w:hint="eastAsia"/>
                <w:b/>
                <w:bCs/>
                <w:sz w:val="22"/>
              </w:rPr>
              <w:t>投资者关系活动类别</w:t>
            </w:r>
          </w:p>
        </w:tc>
        <w:tc>
          <w:tcPr>
            <w:tcW w:w="6458" w:type="dxa"/>
          </w:tcPr>
          <w:p w14:paraId="6C5EEAB3" w14:textId="339729F9" w:rsidR="00CE2BF6" w:rsidRPr="00027983" w:rsidRDefault="0062025D" w:rsidP="00D927D8">
            <w:pPr>
              <w:spacing w:line="360" w:lineRule="exact"/>
              <w:jc w:val="left"/>
              <w:rPr>
                <w:rFonts w:ascii="楷体" w:eastAsia="楷体" w:hAnsi="楷体" w:cs="Times New Roman"/>
                <w:sz w:val="22"/>
              </w:rPr>
            </w:pPr>
            <w:r w:rsidRPr="00005986">
              <w:rPr>
                <w:rFonts w:ascii="楷体" w:eastAsia="楷体" w:hAnsi="楷体" w:cs="Times New Roman" w:hint="eastAsia"/>
                <w:szCs w:val="21"/>
              </w:rPr>
              <w:t>√</w:t>
            </w:r>
            <w:r w:rsidR="00CE2BF6" w:rsidRPr="00027983">
              <w:rPr>
                <w:rFonts w:ascii="楷体" w:eastAsia="楷体" w:hAnsi="楷体" w:cs="Times New Roman" w:hint="eastAsia"/>
                <w:sz w:val="22"/>
              </w:rPr>
              <w:t xml:space="preserve"> 特定对象调研 </w:t>
            </w:r>
            <w:r w:rsidR="00CE2BF6" w:rsidRPr="00027983">
              <w:rPr>
                <w:rFonts w:ascii="楷体" w:eastAsia="楷体" w:hAnsi="楷体" w:cs="Times New Roman"/>
                <w:sz w:val="22"/>
              </w:rPr>
              <w:t xml:space="preserve">      </w:t>
            </w:r>
            <w:r w:rsidR="00CE2BF6" w:rsidRPr="00027983">
              <w:rPr>
                <w:rFonts w:ascii="楷体" w:eastAsia="楷体" w:hAnsi="楷体" w:cs="Times New Roman" w:hint="eastAsia"/>
                <w:sz w:val="22"/>
              </w:rPr>
              <w:t>□ 分析师会议</w:t>
            </w:r>
          </w:p>
          <w:p w14:paraId="105EB52A" w14:textId="77777777" w:rsidR="00CE2BF6" w:rsidRPr="00027983" w:rsidRDefault="00CE2BF6" w:rsidP="00D927D8">
            <w:pPr>
              <w:autoSpaceDE w:val="0"/>
              <w:autoSpaceDN w:val="0"/>
              <w:spacing w:line="360" w:lineRule="exact"/>
              <w:jc w:val="left"/>
              <w:rPr>
                <w:rFonts w:ascii="楷体" w:eastAsia="楷体" w:hAnsi="楷体" w:cs="Noto Sans CJK JP Regular"/>
                <w:kern w:val="0"/>
                <w:sz w:val="22"/>
              </w:rPr>
            </w:pPr>
            <w:r w:rsidRPr="00027983">
              <w:rPr>
                <w:rFonts w:ascii="楷体" w:eastAsia="楷体" w:hAnsi="楷体" w:cs="Times New Roman" w:hint="eastAsia"/>
                <w:sz w:val="22"/>
              </w:rPr>
              <w:t xml:space="preserve">□ </w:t>
            </w:r>
            <w:r w:rsidRPr="00027983">
              <w:rPr>
                <w:rFonts w:ascii="楷体" w:eastAsia="楷体" w:hAnsi="楷体" w:cs="Noto Sans CJK JP Regular" w:hint="eastAsia"/>
                <w:kern w:val="0"/>
                <w:sz w:val="22"/>
              </w:rPr>
              <w:t xml:space="preserve">媒体采访  </w:t>
            </w:r>
            <w:r w:rsidRPr="00027983">
              <w:rPr>
                <w:rFonts w:ascii="楷体" w:eastAsia="楷体" w:hAnsi="楷体" w:cs="Noto Sans CJK JP Regular"/>
                <w:kern w:val="0"/>
                <w:sz w:val="22"/>
              </w:rPr>
              <w:t xml:space="preserve">         </w:t>
            </w:r>
            <w:r w:rsidRPr="00027983">
              <w:rPr>
                <w:rFonts w:ascii="楷体" w:eastAsia="楷体" w:hAnsi="楷体" w:cs="Noto Sans CJK JP Regular" w:hint="eastAsia"/>
                <w:kern w:val="0"/>
                <w:sz w:val="22"/>
              </w:rPr>
              <w:t>□ 业绩说明会</w:t>
            </w:r>
          </w:p>
          <w:p w14:paraId="1C58C189" w14:textId="77777777" w:rsidR="00CE2BF6" w:rsidRPr="00027983" w:rsidRDefault="00CE2BF6" w:rsidP="00D927D8">
            <w:pPr>
              <w:autoSpaceDE w:val="0"/>
              <w:autoSpaceDN w:val="0"/>
              <w:spacing w:line="360" w:lineRule="exact"/>
              <w:jc w:val="left"/>
              <w:rPr>
                <w:rFonts w:ascii="楷体" w:eastAsia="楷体" w:hAnsi="楷体" w:cs="Noto Sans CJK JP Regular"/>
                <w:kern w:val="0"/>
                <w:sz w:val="22"/>
              </w:rPr>
            </w:pPr>
            <w:r w:rsidRPr="00027983">
              <w:rPr>
                <w:rFonts w:ascii="楷体" w:eastAsia="楷体" w:hAnsi="楷体" w:cs="Noto Sans CJK JP Regular" w:hint="eastAsia"/>
                <w:kern w:val="0"/>
                <w:sz w:val="22"/>
              </w:rPr>
              <w:t xml:space="preserve">□ 新闻发布会  </w:t>
            </w:r>
            <w:r w:rsidRPr="00027983">
              <w:rPr>
                <w:rFonts w:ascii="楷体" w:eastAsia="楷体" w:hAnsi="楷体" w:cs="Noto Sans CJK JP Regular"/>
                <w:kern w:val="0"/>
                <w:sz w:val="22"/>
              </w:rPr>
              <w:t xml:space="preserve">       </w:t>
            </w:r>
            <w:r w:rsidRPr="00027983">
              <w:rPr>
                <w:rFonts w:ascii="楷体" w:eastAsia="楷体" w:hAnsi="楷体" w:cs="Noto Sans CJK JP Regular" w:hint="eastAsia"/>
                <w:kern w:val="0"/>
                <w:sz w:val="22"/>
              </w:rPr>
              <w:t>□ 路演活动</w:t>
            </w:r>
          </w:p>
          <w:p w14:paraId="14055DDE" w14:textId="77777777" w:rsidR="00CE2BF6" w:rsidRPr="00027983" w:rsidRDefault="00CE2BF6" w:rsidP="00D927D8">
            <w:pPr>
              <w:spacing w:line="360" w:lineRule="exact"/>
              <w:jc w:val="left"/>
              <w:rPr>
                <w:rFonts w:ascii="楷体" w:eastAsia="楷体" w:hAnsi="楷体" w:cs="Times New Roman"/>
                <w:sz w:val="22"/>
              </w:rPr>
            </w:pPr>
            <w:r w:rsidRPr="00027983">
              <w:rPr>
                <w:rFonts w:ascii="楷体" w:eastAsia="楷体" w:hAnsi="楷体" w:cs="Times New Roman" w:hint="eastAsia"/>
                <w:sz w:val="22"/>
              </w:rPr>
              <w:t>□ 现场参观</w:t>
            </w:r>
          </w:p>
          <w:p w14:paraId="2CEED0DC" w14:textId="77777777" w:rsidR="00CE2BF6" w:rsidRPr="00027983" w:rsidRDefault="00CE2BF6" w:rsidP="00D927D8">
            <w:pPr>
              <w:spacing w:line="360" w:lineRule="exact"/>
              <w:jc w:val="left"/>
              <w:rPr>
                <w:rFonts w:ascii="楷体" w:eastAsia="楷体" w:hAnsi="楷体" w:cs="Times New Roman"/>
                <w:sz w:val="22"/>
              </w:rPr>
            </w:pPr>
            <w:r w:rsidRPr="00027983">
              <w:rPr>
                <w:rFonts w:ascii="楷体" w:eastAsia="楷体" w:hAnsi="楷体" w:cs="Times New Roman" w:hint="eastAsia"/>
                <w:sz w:val="22"/>
              </w:rPr>
              <w:t>□ 其他（</w:t>
            </w:r>
            <w:proofErr w:type="gramStart"/>
            <w:r w:rsidRPr="00027983">
              <w:rPr>
                <w:rFonts w:ascii="楷体" w:eastAsia="楷体" w:hAnsi="楷体" w:cs="Times New Roman" w:hint="eastAsia"/>
                <w:sz w:val="22"/>
              </w:rPr>
              <w:t>请文字</w:t>
            </w:r>
            <w:proofErr w:type="gramEnd"/>
            <w:r w:rsidRPr="00027983">
              <w:rPr>
                <w:rFonts w:ascii="楷体" w:eastAsia="楷体" w:hAnsi="楷体" w:cs="Times New Roman" w:hint="eastAsia"/>
                <w:sz w:val="22"/>
              </w:rPr>
              <w:t>说明）</w:t>
            </w:r>
          </w:p>
        </w:tc>
      </w:tr>
      <w:tr w:rsidR="00027983" w:rsidRPr="00027983" w14:paraId="58B384CF" w14:textId="77777777" w:rsidTr="001D71AA">
        <w:trPr>
          <w:trHeight w:val="2670"/>
        </w:trPr>
        <w:tc>
          <w:tcPr>
            <w:tcW w:w="1838" w:type="dxa"/>
            <w:vAlign w:val="center"/>
          </w:tcPr>
          <w:p w14:paraId="0E81AC0B" w14:textId="12735322" w:rsidR="00027983" w:rsidRPr="00027983" w:rsidRDefault="00027983" w:rsidP="00C01B19">
            <w:pPr>
              <w:spacing w:line="360" w:lineRule="exact"/>
              <w:jc w:val="center"/>
              <w:rPr>
                <w:rFonts w:ascii="楷体" w:eastAsia="楷体" w:hAnsi="楷体" w:cs="Times New Roman"/>
                <w:b/>
                <w:bCs/>
                <w:sz w:val="22"/>
              </w:rPr>
            </w:pPr>
            <w:r w:rsidRPr="00027983">
              <w:rPr>
                <w:rFonts w:ascii="楷体" w:eastAsia="楷体" w:hAnsi="楷体" w:cs="Times New Roman" w:hint="eastAsia"/>
                <w:b/>
                <w:bCs/>
                <w:sz w:val="22"/>
              </w:rPr>
              <w:t>参与</w:t>
            </w:r>
            <w:r w:rsidRPr="00027983">
              <w:rPr>
                <w:rFonts w:ascii="楷体" w:eastAsia="楷体" w:hAnsi="楷体" w:cs="Times New Roman"/>
                <w:b/>
                <w:bCs/>
                <w:sz w:val="22"/>
              </w:rPr>
              <w:t>单位名称</w:t>
            </w:r>
          </w:p>
        </w:tc>
        <w:tc>
          <w:tcPr>
            <w:tcW w:w="6458" w:type="dxa"/>
            <w:vAlign w:val="center"/>
          </w:tcPr>
          <w:p w14:paraId="13DB21FC" w14:textId="5D2E188C" w:rsidR="007A76E3" w:rsidRPr="007A76E3" w:rsidRDefault="00027983" w:rsidP="007A76E3">
            <w:pPr>
              <w:spacing w:line="276" w:lineRule="auto"/>
              <w:rPr>
                <w:rFonts w:ascii="楷体" w:eastAsia="楷体" w:hAnsi="楷体" w:cs="Times New Roman"/>
                <w:szCs w:val="21"/>
              </w:rPr>
            </w:pPr>
            <w:r w:rsidRPr="00027983">
              <w:rPr>
                <w:rFonts w:ascii="楷体" w:eastAsia="楷体" w:hAnsi="楷体" w:cs="Times New Roman" w:hint="eastAsia"/>
                <w:szCs w:val="21"/>
              </w:rPr>
              <w:t>国</w:t>
            </w:r>
            <w:r w:rsidR="007A76E3">
              <w:rPr>
                <w:rFonts w:ascii="楷体" w:eastAsia="楷体" w:hAnsi="楷体" w:cs="Times New Roman" w:hint="eastAsia"/>
                <w:szCs w:val="21"/>
              </w:rPr>
              <w:t>泰君安、</w:t>
            </w:r>
            <w:r w:rsidRPr="00027983">
              <w:rPr>
                <w:rFonts w:ascii="楷体" w:eastAsia="楷体" w:hAnsi="楷体" w:cs="Times New Roman" w:hint="eastAsia"/>
                <w:szCs w:val="21"/>
              </w:rPr>
              <w:t>申万</w:t>
            </w:r>
            <w:r>
              <w:rPr>
                <w:rFonts w:ascii="楷体" w:eastAsia="楷体" w:hAnsi="楷体" w:cs="Times New Roman" w:hint="eastAsia"/>
                <w:szCs w:val="21"/>
              </w:rPr>
              <w:t>宏源</w:t>
            </w:r>
            <w:r w:rsidR="007A76E3">
              <w:rPr>
                <w:rFonts w:ascii="楷体" w:eastAsia="楷体" w:hAnsi="楷体" w:cs="Times New Roman" w:hint="eastAsia"/>
                <w:szCs w:val="21"/>
              </w:rPr>
              <w:t>、</w:t>
            </w:r>
            <w:r w:rsidRPr="00027983">
              <w:rPr>
                <w:rFonts w:ascii="楷体" w:eastAsia="楷体" w:hAnsi="楷体" w:cs="Times New Roman" w:hint="eastAsia"/>
                <w:szCs w:val="21"/>
              </w:rPr>
              <w:t>华泰</w:t>
            </w:r>
            <w:r w:rsidR="007A76E3">
              <w:rPr>
                <w:rFonts w:ascii="楷体" w:eastAsia="楷体" w:hAnsi="楷体" w:cs="Times New Roman" w:hint="eastAsia"/>
                <w:szCs w:val="21"/>
              </w:rPr>
              <w:t>证券、</w:t>
            </w:r>
            <w:r w:rsidRPr="00027983">
              <w:rPr>
                <w:rFonts w:ascii="楷体" w:eastAsia="楷体" w:hAnsi="楷体" w:cs="Times New Roman" w:hint="eastAsia"/>
                <w:szCs w:val="21"/>
              </w:rPr>
              <w:t>中金</w:t>
            </w:r>
            <w:r>
              <w:rPr>
                <w:rFonts w:ascii="楷体" w:eastAsia="楷体" w:hAnsi="楷体" w:cs="Times New Roman" w:hint="eastAsia"/>
                <w:szCs w:val="21"/>
              </w:rPr>
              <w:t>电新</w:t>
            </w:r>
            <w:r w:rsidR="007A76E3">
              <w:rPr>
                <w:rFonts w:ascii="楷体" w:eastAsia="楷体" w:hAnsi="楷体" w:cs="Times New Roman" w:hint="eastAsia"/>
                <w:szCs w:val="21"/>
              </w:rPr>
              <w:t>、</w:t>
            </w:r>
            <w:r w:rsidR="007A76E3" w:rsidRPr="007A76E3">
              <w:rPr>
                <w:rFonts w:ascii="楷体" w:eastAsia="楷体" w:hAnsi="楷体" w:cs="Times New Roman" w:hint="eastAsia"/>
                <w:szCs w:val="21"/>
              </w:rPr>
              <w:t>长江证券、东吴证券、海通证券、招商证券</w:t>
            </w:r>
            <w:r w:rsidR="007A76E3">
              <w:rPr>
                <w:rFonts w:ascii="楷体" w:eastAsia="楷体" w:hAnsi="楷体" w:cs="Times New Roman" w:hint="eastAsia"/>
                <w:szCs w:val="21"/>
              </w:rPr>
              <w:t>、</w:t>
            </w:r>
            <w:proofErr w:type="gramStart"/>
            <w:r w:rsidR="007A76E3">
              <w:rPr>
                <w:rFonts w:ascii="楷体" w:eastAsia="楷体" w:hAnsi="楷体" w:cs="Times New Roman" w:hint="eastAsia"/>
                <w:szCs w:val="21"/>
              </w:rPr>
              <w:t>汇添富</w:t>
            </w:r>
            <w:proofErr w:type="gramEnd"/>
            <w:r w:rsidR="007A76E3">
              <w:rPr>
                <w:rFonts w:ascii="楷体" w:eastAsia="楷体" w:hAnsi="楷体" w:cs="Times New Roman" w:hint="eastAsia"/>
                <w:szCs w:val="21"/>
              </w:rPr>
              <w:t>基金、大成基金等</w:t>
            </w:r>
          </w:p>
        </w:tc>
      </w:tr>
      <w:tr w:rsidR="00027983" w:rsidRPr="00027983" w14:paraId="4EFCA22E" w14:textId="77777777" w:rsidTr="00027983">
        <w:trPr>
          <w:trHeight w:val="1415"/>
        </w:trPr>
        <w:tc>
          <w:tcPr>
            <w:tcW w:w="1838" w:type="dxa"/>
            <w:vAlign w:val="center"/>
          </w:tcPr>
          <w:p w14:paraId="40658E2C" w14:textId="77777777" w:rsidR="00027983" w:rsidRPr="00027983" w:rsidRDefault="00027983" w:rsidP="00027983">
            <w:pPr>
              <w:spacing w:line="360" w:lineRule="exact"/>
              <w:jc w:val="center"/>
              <w:rPr>
                <w:rFonts w:ascii="楷体" w:eastAsia="楷体" w:hAnsi="楷体" w:cs="Times New Roman"/>
                <w:b/>
                <w:bCs/>
                <w:sz w:val="22"/>
              </w:rPr>
            </w:pPr>
            <w:r w:rsidRPr="00027983">
              <w:rPr>
                <w:rFonts w:ascii="楷体" w:eastAsia="楷体" w:hAnsi="楷体" w:cs="Times New Roman" w:hint="eastAsia"/>
                <w:b/>
                <w:bCs/>
                <w:sz w:val="22"/>
              </w:rPr>
              <w:t>公司</w:t>
            </w:r>
            <w:r w:rsidRPr="00027983">
              <w:rPr>
                <w:rFonts w:ascii="楷体" w:eastAsia="楷体" w:hAnsi="楷体" w:cs="Times New Roman"/>
                <w:b/>
                <w:bCs/>
                <w:sz w:val="22"/>
              </w:rPr>
              <w:t>接待人员姓名</w:t>
            </w:r>
            <w:r w:rsidRPr="00027983">
              <w:rPr>
                <w:rFonts w:ascii="楷体" w:eastAsia="楷体" w:hAnsi="楷体" w:cs="Times New Roman" w:hint="eastAsia"/>
                <w:b/>
                <w:bCs/>
                <w:sz w:val="22"/>
              </w:rPr>
              <w:t>及职务</w:t>
            </w:r>
          </w:p>
        </w:tc>
        <w:tc>
          <w:tcPr>
            <w:tcW w:w="6458" w:type="dxa"/>
            <w:vAlign w:val="center"/>
          </w:tcPr>
          <w:p w14:paraId="74DB1A89" w14:textId="2DE1DFB2" w:rsidR="0062025D" w:rsidRDefault="0062025D" w:rsidP="00C24E88">
            <w:pPr>
              <w:spacing w:line="276" w:lineRule="auto"/>
              <w:rPr>
                <w:rFonts w:ascii="楷体" w:eastAsia="楷体" w:hAnsi="楷体" w:cs="Times New Roman"/>
                <w:szCs w:val="21"/>
              </w:rPr>
            </w:pPr>
            <w:r>
              <w:rPr>
                <w:rFonts w:ascii="楷体" w:eastAsia="楷体" w:hAnsi="楷体" w:cs="Times New Roman" w:hint="eastAsia"/>
                <w:szCs w:val="21"/>
              </w:rPr>
              <w:t>董事长：高纪凡</w:t>
            </w:r>
          </w:p>
          <w:p w14:paraId="5EAB6886" w14:textId="25FD36F0" w:rsidR="0062025D" w:rsidRDefault="00C01B19" w:rsidP="00C24E88">
            <w:pPr>
              <w:spacing w:line="276" w:lineRule="auto"/>
              <w:rPr>
                <w:rFonts w:ascii="楷体" w:eastAsia="楷体" w:hAnsi="楷体" w:cs="Times New Roman"/>
                <w:szCs w:val="21"/>
              </w:rPr>
            </w:pPr>
            <w:r w:rsidRPr="00C01B19">
              <w:rPr>
                <w:rFonts w:ascii="楷体" w:eastAsia="楷体" w:hAnsi="楷体" w:cs="Times New Roman" w:hint="eastAsia"/>
                <w:szCs w:val="21"/>
              </w:rPr>
              <w:t>常务副总裁</w:t>
            </w:r>
            <w:r w:rsidR="0062025D">
              <w:rPr>
                <w:rFonts w:ascii="楷体" w:eastAsia="楷体" w:hAnsi="楷体" w:cs="Times New Roman" w:hint="eastAsia"/>
                <w:szCs w:val="21"/>
              </w:rPr>
              <w:t>：曹博</w:t>
            </w:r>
          </w:p>
          <w:p w14:paraId="5306850C" w14:textId="7AB104A5" w:rsidR="00C24E88" w:rsidRDefault="00C24E88" w:rsidP="00C24E88">
            <w:pPr>
              <w:spacing w:line="276" w:lineRule="auto"/>
              <w:rPr>
                <w:rFonts w:ascii="楷体" w:eastAsia="楷体" w:hAnsi="楷体" w:cs="Times New Roman"/>
                <w:szCs w:val="21"/>
              </w:rPr>
            </w:pPr>
            <w:r w:rsidRPr="00005986">
              <w:rPr>
                <w:rFonts w:ascii="楷体" w:eastAsia="楷体" w:hAnsi="楷体" w:cs="Times New Roman" w:hint="eastAsia"/>
                <w:szCs w:val="21"/>
              </w:rPr>
              <w:t>董事会秘书：吴群</w:t>
            </w:r>
          </w:p>
          <w:p w14:paraId="3C179BFA" w14:textId="326E9E4B" w:rsidR="0062025D" w:rsidRDefault="0062025D" w:rsidP="00C24E88">
            <w:pPr>
              <w:spacing w:line="276" w:lineRule="auto"/>
              <w:rPr>
                <w:rFonts w:ascii="楷体" w:eastAsia="楷体" w:hAnsi="楷体" w:cs="Times New Roman"/>
                <w:szCs w:val="21"/>
              </w:rPr>
            </w:pPr>
            <w:r>
              <w:rPr>
                <w:rFonts w:ascii="楷体" w:eastAsia="楷体" w:hAnsi="楷体" w:cs="Times New Roman" w:hint="eastAsia"/>
                <w:szCs w:val="21"/>
              </w:rPr>
              <w:t>采购供应链负责人：陈晔</w:t>
            </w:r>
          </w:p>
          <w:p w14:paraId="58BB7391" w14:textId="6306991F" w:rsidR="0062025D" w:rsidRDefault="0062025D" w:rsidP="00C24E88">
            <w:pPr>
              <w:spacing w:line="276" w:lineRule="auto"/>
              <w:rPr>
                <w:rFonts w:ascii="楷体" w:eastAsia="楷体" w:hAnsi="楷体" w:cs="Times New Roman"/>
                <w:szCs w:val="21"/>
              </w:rPr>
            </w:pPr>
            <w:r>
              <w:rPr>
                <w:rFonts w:ascii="楷体" w:eastAsia="楷体" w:hAnsi="楷体" w:cs="Times New Roman" w:hint="eastAsia"/>
                <w:szCs w:val="21"/>
              </w:rPr>
              <w:t>全球组件制造负责人：陈守忠</w:t>
            </w:r>
          </w:p>
          <w:p w14:paraId="0F2D35AC" w14:textId="7B7BBF28" w:rsidR="0062025D" w:rsidRDefault="0062025D" w:rsidP="00C24E88">
            <w:pPr>
              <w:spacing w:line="276" w:lineRule="auto"/>
              <w:rPr>
                <w:rFonts w:ascii="楷体" w:eastAsia="楷体" w:hAnsi="楷体" w:cs="Times New Roman"/>
                <w:szCs w:val="21"/>
              </w:rPr>
            </w:pPr>
            <w:r>
              <w:rPr>
                <w:rFonts w:ascii="楷体" w:eastAsia="楷体" w:hAnsi="楷体" w:cs="Times New Roman" w:hint="eastAsia"/>
                <w:szCs w:val="21"/>
              </w:rPr>
              <w:t>义乌工厂负责人：杨小军</w:t>
            </w:r>
          </w:p>
          <w:p w14:paraId="556163FB" w14:textId="449AD43F" w:rsidR="0062025D" w:rsidRPr="0062025D" w:rsidRDefault="0062025D" w:rsidP="00C24E88">
            <w:pPr>
              <w:spacing w:line="276" w:lineRule="auto"/>
              <w:rPr>
                <w:rFonts w:ascii="楷体" w:eastAsia="楷体" w:hAnsi="楷体" w:cs="Times New Roman"/>
                <w:szCs w:val="21"/>
              </w:rPr>
            </w:pPr>
            <w:r>
              <w:rPr>
                <w:rFonts w:ascii="楷体" w:eastAsia="楷体" w:hAnsi="楷体" w:cs="Times New Roman" w:hint="eastAsia"/>
                <w:szCs w:val="21"/>
              </w:rPr>
              <w:t>宿迁工厂组件负责人：陆振宇</w:t>
            </w:r>
          </w:p>
          <w:p w14:paraId="2BE889C8" w14:textId="7329CE52" w:rsidR="001D71AA" w:rsidRDefault="001D71AA" w:rsidP="00C24E88">
            <w:pPr>
              <w:spacing w:line="276" w:lineRule="auto"/>
              <w:rPr>
                <w:rFonts w:ascii="楷体" w:eastAsia="楷体" w:hAnsi="楷体" w:cs="Times New Roman"/>
                <w:szCs w:val="21"/>
              </w:rPr>
            </w:pPr>
            <w:r>
              <w:rPr>
                <w:rFonts w:ascii="楷体" w:eastAsia="楷体" w:hAnsi="楷体" w:cs="Times New Roman" w:hint="eastAsia"/>
                <w:szCs w:val="21"/>
              </w:rPr>
              <w:t>宿迁工厂电池负责人：仝斌</w:t>
            </w:r>
          </w:p>
          <w:p w14:paraId="1878636D" w14:textId="0B0A93B6" w:rsidR="0013199C" w:rsidRDefault="0013199C" w:rsidP="00C24E88">
            <w:pPr>
              <w:spacing w:line="276" w:lineRule="auto"/>
              <w:rPr>
                <w:rFonts w:ascii="楷体" w:eastAsia="楷体" w:hAnsi="楷体" w:cs="Times New Roman"/>
                <w:szCs w:val="21"/>
              </w:rPr>
            </w:pPr>
            <w:r>
              <w:rPr>
                <w:rFonts w:ascii="楷体" w:eastAsia="楷体" w:hAnsi="楷体" w:cs="Times New Roman" w:hint="eastAsia"/>
                <w:szCs w:val="21"/>
              </w:rPr>
              <w:t>财务高级总监：廖盛彬</w:t>
            </w:r>
          </w:p>
          <w:p w14:paraId="2FD155BB" w14:textId="37C9712B" w:rsidR="0062025D" w:rsidRPr="0062025D" w:rsidRDefault="0062025D" w:rsidP="00C24E88">
            <w:pPr>
              <w:spacing w:line="276" w:lineRule="auto"/>
              <w:rPr>
                <w:rFonts w:ascii="楷体" w:eastAsia="楷体" w:hAnsi="楷体" w:cs="Times New Roman"/>
                <w:szCs w:val="21"/>
              </w:rPr>
            </w:pPr>
            <w:r>
              <w:rPr>
                <w:rFonts w:ascii="楷体" w:eastAsia="楷体" w:hAnsi="楷体" w:cs="Times New Roman" w:hint="eastAsia"/>
                <w:szCs w:val="21"/>
              </w:rPr>
              <w:t>全球组件价值群财务负责人</w:t>
            </w:r>
            <w:r w:rsidRPr="00005986">
              <w:rPr>
                <w:rFonts w:ascii="楷体" w:eastAsia="楷体" w:hAnsi="楷体" w:cs="Times New Roman" w:hint="eastAsia"/>
                <w:szCs w:val="21"/>
              </w:rPr>
              <w:t>：吴森</w:t>
            </w:r>
          </w:p>
          <w:p w14:paraId="2FE29663" w14:textId="08E0601F" w:rsidR="00C24E88" w:rsidRDefault="00C24E88" w:rsidP="00C24E88">
            <w:pPr>
              <w:spacing w:line="276" w:lineRule="auto"/>
              <w:rPr>
                <w:rFonts w:ascii="楷体" w:eastAsia="楷体" w:hAnsi="楷体" w:cs="Times New Roman"/>
                <w:szCs w:val="21"/>
              </w:rPr>
            </w:pPr>
            <w:r>
              <w:rPr>
                <w:rFonts w:ascii="楷体" w:eastAsia="楷体" w:hAnsi="楷体" w:cs="Times New Roman" w:hint="eastAsia"/>
                <w:szCs w:val="21"/>
              </w:rPr>
              <w:t>投资者关系经理：高海纯</w:t>
            </w:r>
          </w:p>
          <w:p w14:paraId="22D435E5" w14:textId="1A20114E" w:rsidR="0062025D" w:rsidRPr="0062025D" w:rsidRDefault="0062025D" w:rsidP="00C24E88">
            <w:pPr>
              <w:spacing w:line="276" w:lineRule="auto"/>
              <w:rPr>
                <w:rFonts w:ascii="楷体" w:eastAsia="楷体" w:hAnsi="楷体" w:cs="Times New Roman"/>
                <w:szCs w:val="21"/>
              </w:rPr>
            </w:pPr>
            <w:r w:rsidRPr="00005986">
              <w:rPr>
                <w:rFonts w:ascii="楷体" w:eastAsia="楷体" w:hAnsi="楷体" w:cs="Times New Roman" w:hint="eastAsia"/>
                <w:szCs w:val="21"/>
              </w:rPr>
              <w:t>投资者关系经理：</w:t>
            </w:r>
            <w:proofErr w:type="gramStart"/>
            <w:r w:rsidRPr="00005986">
              <w:rPr>
                <w:rFonts w:ascii="楷体" w:eastAsia="楷体" w:hAnsi="楷体" w:cs="Times New Roman" w:hint="eastAsia"/>
                <w:szCs w:val="21"/>
              </w:rPr>
              <w:t>茅</w:t>
            </w:r>
            <w:proofErr w:type="gramEnd"/>
            <w:r w:rsidRPr="00005986">
              <w:rPr>
                <w:rFonts w:ascii="楷体" w:eastAsia="楷体" w:hAnsi="楷体" w:cs="Times New Roman" w:hint="eastAsia"/>
                <w:szCs w:val="21"/>
              </w:rPr>
              <w:t>崝</w:t>
            </w:r>
            <w:proofErr w:type="gramStart"/>
            <w:r w:rsidRPr="00005986">
              <w:rPr>
                <w:rFonts w:ascii="楷体" w:eastAsia="楷体" w:hAnsi="楷体" w:cs="Times New Roman" w:hint="eastAsia"/>
                <w:szCs w:val="21"/>
              </w:rPr>
              <w:t>彦</w:t>
            </w:r>
            <w:proofErr w:type="gramEnd"/>
          </w:p>
          <w:p w14:paraId="130C03DB" w14:textId="36F6A9F3" w:rsidR="00027983" w:rsidRPr="00027983" w:rsidRDefault="00C24E88" w:rsidP="00C24E88">
            <w:pPr>
              <w:spacing w:line="276" w:lineRule="auto"/>
              <w:rPr>
                <w:rFonts w:ascii="楷体" w:eastAsia="楷体" w:hAnsi="楷体" w:cs="Times New Roman"/>
                <w:sz w:val="22"/>
              </w:rPr>
            </w:pPr>
            <w:r w:rsidRPr="00005986">
              <w:rPr>
                <w:rFonts w:ascii="楷体" w:eastAsia="楷体" w:hAnsi="楷体" w:cs="Times New Roman" w:hint="eastAsia"/>
                <w:szCs w:val="21"/>
              </w:rPr>
              <w:t>投资者关系主管：杨帆</w:t>
            </w:r>
          </w:p>
        </w:tc>
      </w:tr>
      <w:tr w:rsidR="00027983" w:rsidRPr="00027983" w14:paraId="74A65C0D" w14:textId="77777777" w:rsidTr="00D927D8">
        <w:trPr>
          <w:trHeight w:val="410"/>
        </w:trPr>
        <w:tc>
          <w:tcPr>
            <w:tcW w:w="1838" w:type="dxa"/>
            <w:vAlign w:val="center"/>
          </w:tcPr>
          <w:p w14:paraId="495524D7" w14:textId="77777777" w:rsidR="00027983" w:rsidRPr="00027983" w:rsidRDefault="00027983" w:rsidP="00027983">
            <w:pPr>
              <w:spacing w:line="360" w:lineRule="exact"/>
              <w:jc w:val="center"/>
              <w:rPr>
                <w:rFonts w:ascii="楷体" w:eastAsia="楷体" w:hAnsi="楷体" w:cs="Times New Roman"/>
                <w:b/>
                <w:bCs/>
                <w:sz w:val="22"/>
              </w:rPr>
            </w:pPr>
            <w:r w:rsidRPr="00027983">
              <w:rPr>
                <w:rFonts w:ascii="楷体" w:eastAsia="楷体" w:hAnsi="楷体" w:cs="Times New Roman" w:hint="eastAsia"/>
                <w:b/>
                <w:bCs/>
                <w:sz w:val="22"/>
              </w:rPr>
              <w:t>时间</w:t>
            </w:r>
          </w:p>
        </w:tc>
        <w:tc>
          <w:tcPr>
            <w:tcW w:w="6458" w:type="dxa"/>
          </w:tcPr>
          <w:p w14:paraId="2FC92694" w14:textId="77777777" w:rsidR="00027983" w:rsidRDefault="0062025D" w:rsidP="00027983">
            <w:pPr>
              <w:spacing w:line="360" w:lineRule="exact"/>
              <w:jc w:val="left"/>
              <w:rPr>
                <w:rFonts w:ascii="楷体" w:eastAsia="楷体" w:hAnsi="楷体" w:cs="Times New Roman"/>
                <w:sz w:val="22"/>
              </w:rPr>
            </w:pPr>
            <w:r>
              <w:rPr>
                <w:rFonts w:ascii="楷体" w:eastAsia="楷体" w:hAnsi="楷体" w:cs="Times New Roman" w:hint="eastAsia"/>
                <w:sz w:val="22"/>
              </w:rPr>
              <w:t>第一场：</w:t>
            </w:r>
            <w:r w:rsidR="00027983" w:rsidRPr="00027983">
              <w:rPr>
                <w:rFonts w:ascii="楷体" w:eastAsia="楷体" w:hAnsi="楷体" w:cs="Times New Roman" w:hint="eastAsia"/>
                <w:sz w:val="22"/>
              </w:rPr>
              <w:t>2</w:t>
            </w:r>
            <w:r w:rsidR="00027983" w:rsidRPr="00027983">
              <w:rPr>
                <w:rFonts w:ascii="楷体" w:eastAsia="楷体" w:hAnsi="楷体" w:cs="Times New Roman"/>
                <w:sz w:val="22"/>
              </w:rPr>
              <w:t>020</w:t>
            </w:r>
            <w:r w:rsidR="00027983" w:rsidRPr="00027983">
              <w:rPr>
                <w:rFonts w:ascii="楷体" w:eastAsia="楷体" w:hAnsi="楷体" w:cs="Times New Roman" w:hint="eastAsia"/>
                <w:sz w:val="22"/>
              </w:rPr>
              <w:t>年</w:t>
            </w:r>
            <w:r w:rsidR="00027983" w:rsidRPr="00027983">
              <w:rPr>
                <w:rFonts w:ascii="楷体" w:eastAsia="楷体" w:hAnsi="楷体" w:cs="Times New Roman"/>
                <w:sz w:val="22"/>
              </w:rPr>
              <w:t>7</w:t>
            </w:r>
            <w:r w:rsidR="00027983" w:rsidRPr="00027983">
              <w:rPr>
                <w:rFonts w:ascii="楷体" w:eastAsia="楷体" w:hAnsi="楷体" w:cs="Times New Roman" w:hint="eastAsia"/>
                <w:sz w:val="22"/>
              </w:rPr>
              <w:t>月9日星期四</w:t>
            </w:r>
          </w:p>
          <w:p w14:paraId="62731981" w14:textId="76723A49" w:rsidR="0062025D" w:rsidRPr="00027983" w:rsidRDefault="0062025D" w:rsidP="00027983">
            <w:pPr>
              <w:spacing w:line="360" w:lineRule="exact"/>
              <w:jc w:val="left"/>
              <w:rPr>
                <w:rFonts w:ascii="楷体" w:eastAsia="楷体" w:hAnsi="楷体" w:cs="Times New Roman"/>
                <w:sz w:val="22"/>
              </w:rPr>
            </w:pPr>
            <w:r>
              <w:rPr>
                <w:rFonts w:ascii="楷体" w:eastAsia="楷体" w:hAnsi="楷体" w:cs="Times New Roman" w:hint="eastAsia"/>
                <w:sz w:val="22"/>
              </w:rPr>
              <w:t>第二场：2</w:t>
            </w:r>
            <w:r>
              <w:rPr>
                <w:rFonts w:ascii="楷体" w:eastAsia="楷体" w:hAnsi="楷体" w:cs="Times New Roman"/>
                <w:sz w:val="22"/>
              </w:rPr>
              <w:t>020</w:t>
            </w:r>
            <w:r>
              <w:rPr>
                <w:rFonts w:ascii="楷体" w:eastAsia="楷体" w:hAnsi="楷体" w:cs="Times New Roman" w:hint="eastAsia"/>
                <w:sz w:val="22"/>
              </w:rPr>
              <w:t>年7月2</w:t>
            </w:r>
            <w:r>
              <w:rPr>
                <w:rFonts w:ascii="楷体" w:eastAsia="楷体" w:hAnsi="楷体" w:cs="Times New Roman"/>
                <w:sz w:val="22"/>
              </w:rPr>
              <w:t>9</w:t>
            </w:r>
            <w:r>
              <w:rPr>
                <w:rFonts w:ascii="楷体" w:eastAsia="楷体" w:hAnsi="楷体" w:cs="Times New Roman" w:hint="eastAsia"/>
                <w:sz w:val="22"/>
              </w:rPr>
              <w:t>日星期三</w:t>
            </w:r>
          </w:p>
        </w:tc>
      </w:tr>
      <w:tr w:rsidR="00027983" w:rsidRPr="00027983" w14:paraId="6F91DFE2" w14:textId="77777777" w:rsidTr="00D927D8">
        <w:trPr>
          <w:trHeight w:val="417"/>
        </w:trPr>
        <w:tc>
          <w:tcPr>
            <w:tcW w:w="1838" w:type="dxa"/>
            <w:vAlign w:val="center"/>
          </w:tcPr>
          <w:p w14:paraId="2D265808" w14:textId="77777777" w:rsidR="00027983" w:rsidRPr="00027983" w:rsidRDefault="00027983" w:rsidP="00027983">
            <w:pPr>
              <w:spacing w:line="360" w:lineRule="exact"/>
              <w:jc w:val="center"/>
              <w:rPr>
                <w:rFonts w:ascii="楷体" w:eastAsia="楷体" w:hAnsi="楷体" w:cs="Times New Roman"/>
                <w:b/>
                <w:bCs/>
                <w:sz w:val="22"/>
              </w:rPr>
            </w:pPr>
            <w:r w:rsidRPr="00027983">
              <w:rPr>
                <w:rFonts w:ascii="楷体" w:eastAsia="楷体" w:hAnsi="楷体" w:cs="Times New Roman" w:hint="eastAsia"/>
                <w:b/>
                <w:bCs/>
                <w:sz w:val="22"/>
              </w:rPr>
              <w:t>地点</w:t>
            </w:r>
          </w:p>
        </w:tc>
        <w:tc>
          <w:tcPr>
            <w:tcW w:w="6458" w:type="dxa"/>
          </w:tcPr>
          <w:p w14:paraId="330C07BE" w14:textId="1A32071F" w:rsidR="00027983" w:rsidRPr="00027983" w:rsidRDefault="0062025D" w:rsidP="00027983">
            <w:pPr>
              <w:spacing w:line="360" w:lineRule="exact"/>
              <w:jc w:val="left"/>
              <w:rPr>
                <w:rFonts w:ascii="楷体" w:eastAsia="楷体" w:hAnsi="楷体" w:cs="Times New Roman"/>
                <w:sz w:val="22"/>
              </w:rPr>
            </w:pPr>
            <w:r>
              <w:rPr>
                <w:rFonts w:ascii="楷体" w:eastAsia="楷体" w:hAnsi="楷体" w:cs="Times New Roman" w:hint="eastAsia"/>
                <w:sz w:val="22"/>
              </w:rPr>
              <w:t>公司宿迁工厂、公司义乌工厂</w:t>
            </w:r>
          </w:p>
        </w:tc>
      </w:tr>
      <w:tr w:rsidR="00027983" w:rsidRPr="00027983" w14:paraId="6A0B7BFA" w14:textId="77777777" w:rsidTr="00D927D8">
        <w:trPr>
          <w:trHeight w:val="4214"/>
        </w:trPr>
        <w:tc>
          <w:tcPr>
            <w:tcW w:w="1838" w:type="dxa"/>
            <w:vAlign w:val="center"/>
          </w:tcPr>
          <w:p w14:paraId="4A46D577" w14:textId="77777777" w:rsidR="00027983" w:rsidRPr="00027983" w:rsidRDefault="00027983" w:rsidP="00027983">
            <w:pPr>
              <w:spacing w:line="360" w:lineRule="exact"/>
              <w:jc w:val="center"/>
              <w:rPr>
                <w:rFonts w:ascii="楷体" w:eastAsia="楷体" w:hAnsi="楷体" w:cs="Times New Roman"/>
                <w:b/>
                <w:bCs/>
                <w:sz w:val="22"/>
              </w:rPr>
            </w:pPr>
            <w:r w:rsidRPr="00027983">
              <w:rPr>
                <w:rFonts w:ascii="楷体" w:eastAsia="楷体" w:hAnsi="楷体" w:cs="Times New Roman" w:hint="eastAsia"/>
                <w:b/>
                <w:bCs/>
                <w:sz w:val="22"/>
              </w:rPr>
              <w:lastRenderedPageBreak/>
              <w:t>投资</w:t>
            </w:r>
            <w:r w:rsidRPr="00027983">
              <w:rPr>
                <w:rFonts w:ascii="楷体" w:eastAsia="楷体" w:hAnsi="楷体" w:cs="Times New Roman"/>
                <w:b/>
                <w:bCs/>
                <w:sz w:val="22"/>
              </w:rPr>
              <w:t>者关系活动</w:t>
            </w:r>
            <w:r w:rsidRPr="00027983">
              <w:rPr>
                <w:rFonts w:ascii="楷体" w:eastAsia="楷体" w:hAnsi="楷体" w:cs="Times New Roman" w:hint="eastAsia"/>
                <w:b/>
                <w:bCs/>
                <w:sz w:val="22"/>
              </w:rPr>
              <w:t>主要</w:t>
            </w:r>
            <w:r w:rsidRPr="00027983">
              <w:rPr>
                <w:rFonts w:ascii="楷体" w:eastAsia="楷体" w:hAnsi="楷体" w:cs="Times New Roman"/>
                <w:b/>
                <w:bCs/>
                <w:sz w:val="22"/>
              </w:rPr>
              <w:t>内容</w:t>
            </w:r>
            <w:r w:rsidRPr="00027983">
              <w:rPr>
                <w:rFonts w:ascii="楷体" w:eastAsia="楷体" w:hAnsi="楷体" w:cs="Times New Roman" w:hint="eastAsia"/>
                <w:b/>
                <w:bCs/>
                <w:sz w:val="22"/>
              </w:rPr>
              <w:t>介绍</w:t>
            </w:r>
          </w:p>
        </w:tc>
        <w:tc>
          <w:tcPr>
            <w:tcW w:w="6458" w:type="dxa"/>
          </w:tcPr>
          <w:p w14:paraId="5EBF5B4B" w14:textId="33A698F7" w:rsidR="0013199C" w:rsidRPr="0028017B" w:rsidRDefault="0013199C" w:rsidP="0028017B">
            <w:pPr>
              <w:pStyle w:val="aa"/>
              <w:widowControl/>
              <w:numPr>
                <w:ilvl w:val="0"/>
                <w:numId w:val="2"/>
              </w:numPr>
              <w:spacing w:before="240" w:after="240" w:line="276" w:lineRule="auto"/>
              <w:ind w:firstLineChars="0"/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</w:pPr>
            <w:r w:rsidRPr="0028017B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参观</w:t>
            </w:r>
            <w:r w:rsidR="00F85411" w:rsidRPr="0028017B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公司</w:t>
            </w:r>
            <w:r w:rsidRPr="0028017B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电池、组件车间</w:t>
            </w:r>
            <w:r w:rsidR="0028017B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：</w:t>
            </w:r>
            <w:r w:rsidR="00F85411" w:rsidRPr="0028017B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机构一行抵达公司智能制造基地，实地观摩了电池、</w:t>
            </w:r>
            <w:proofErr w:type="gramStart"/>
            <w:r w:rsidR="00F85411" w:rsidRPr="0028017B"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组件产线的</w:t>
            </w:r>
            <w:proofErr w:type="gramEnd"/>
            <w:r w:rsidR="00F85411" w:rsidRPr="0028017B"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生产制造</w:t>
            </w:r>
            <w:r w:rsidR="00F85411" w:rsidRPr="0028017B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。</w:t>
            </w:r>
          </w:p>
          <w:p w14:paraId="5495B450" w14:textId="19470D68" w:rsidR="00F85411" w:rsidRPr="00F85411" w:rsidRDefault="00F85411" w:rsidP="00F85411">
            <w:pPr>
              <w:pStyle w:val="aa"/>
              <w:widowControl/>
              <w:numPr>
                <w:ilvl w:val="0"/>
                <w:numId w:val="2"/>
              </w:numPr>
              <w:spacing w:before="240" w:after="240" w:line="276" w:lineRule="auto"/>
              <w:ind w:firstLineChars="0"/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公司竞争力</w:t>
            </w:r>
            <w:r w:rsidR="0028017B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体现</w:t>
            </w:r>
            <w:r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？</w:t>
            </w:r>
          </w:p>
          <w:p w14:paraId="04A998EE" w14:textId="5FB3A85D" w:rsidR="00F85411" w:rsidRPr="00F85411" w:rsidRDefault="00C01B19" w:rsidP="00F85411">
            <w:pPr>
              <w:widowControl/>
              <w:spacing w:before="240" w:after="240" w:line="276" w:lineRule="auto"/>
              <w:ind w:firstLineChars="200" w:firstLine="420"/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</w:pPr>
            <w:r w:rsidRPr="00F85411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答：</w:t>
            </w:r>
            <w:r w:rsidR="00F85411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公司</w:t>
            </w:r>
            <w:r w:rsidR="00F85411" w:rsidRPr="00F85411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成立</w:t>
            </w:r>
            <w:r w:rsidR="00F85411" w:rsidRPr="00F85411"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23年来以来，始终不忘初心，秉持</w:t>
            </w:r>
            <w:r w:rsidR="00F85411" w:rsidRPr="00F85411"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“</w:t>
            </w:r>
            <w:r w:rsidR="00F85411" w:rsidRPr="00F85411"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用太阳能造福全人类</w:t>
            </w:r>
            <w:r w:rsidR="00F85411" w:rsidRPr="00F85411"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”</w:t>
            </w:r>
            <w:r w:rsidR="00F85411" w:rsidRPr="00F85411"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的使命。作为历</w:t>
            </w:r>
            <w:r w:rsidR="0028017B"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史悠久的行业代表，历经行业波动，穿越行业周期，始终保持领先地位</w:t>
            </w:r>
            <w:r w:rsidR="0028017B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。</w:t>
            </w:r>
            <w:r w:rsidR="00F85411" w:rsidRPr="00F85411"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公司竞争力体现在组件产品的优异性能及领先的产能结构、全球市场的布局和品牌美誉度、企业的综合卓越管理能力和交付能力。</w:t>
            </w:r>
          </w:p>
          <w:p w14:paraId="2C779792" w14:textId="7B826C73" w:rsidR="00C01B19" w:rsidRPr="00A80CB0" w:rsidRDefault="00A80CB0" w:rsidP="00A80CB0">
            <w:pPr>
              <w:pStyle w:val="aa"/>
              <w:widowControl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</w:pPr>
            <w:r w:rsidRPr="00A80CB0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公司经营理念</w:t>
            </w:r>
            <w:r w:rsidR="00C01B19" w:rsidRPr="00A80CB0"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？</w:t>
            </w:r>
          </w:p>
          <w:p w14:paraId="0FA352E9" w14:textId="4FFF9D3E" w:rsidR="00C01B19" w:rsidRDefault="00C01B19" w:rsidP="00A80CB0">
            <w:pPr>
              <w:widowControl/>
              <w:spacing w:before="240" w:after="240" w:line="276" w:lineRule="auto"/>
              <w:ind w:firstLineChars="200" w:firstLine="420"/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</w:pPr>
            <w:r w:rsidRPr="00A80CB0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答：</w:t>
            </w:r>
            <w:r w:rsidR="00A80CB0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公司</w:t>
            </w:r>
            <w:r w:rsidR="00A80CB0" w:rsidRPr="00A80CB0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立足于贴近客户，发掘客户需求，提供“以高效组件、智能跟踪支架、以及电站开发能力三位一体的整体解决方案服务”。天合光能以智能创新的产品为基础，并在项目开发等领域打造专业优秀的团队，前瞻性地为客户提供专业的整体服务而非简单的产品，不断为客户创造更多更大的价值。</w:t>
            </w:r>
          </w:p>
          <w:p w14:paraId="1C402499" w14:textId="3017D40D" w:rsidR="0028017B" w:rsidRPr="0028017B" w:rsidRDefault="0028017B" w:rsidP="0028017B">
            <w:pPr>
              <w:pStyle w:val="aa"/>
              <w:widowControl/>
              <w:numPr>
                <w:ilvl w:val="0"/>
                <w:numId w:val="2"/>
              </w:numPr>
              <w:spacing w:before="240" w:after="240" w:line="276" w:lineRule="auto"/>
              <w:ind w:firstLineChars="0"/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请公司介绍一下T</w:t>
            </w:r>
            <w:r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PG</w:t>
            </w:r>
            <w:r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项目？</w:t>
            </w:r>
          </w:p>
          <w:p w14:paraId="5C445080" w14:textId="53B81F61" w:rsidR="00A80CB0" w:rsidRPr="00A80CB0" w:rsidRDefault="0028017B" w:rsidP="00A80CB0">
            <w:pPr>
              <w:widowControl/>
              <w:spacing w:before="240" w:after="240" w:line="276" w:lineRule="auto"/>
              <w:ind w:firstLineChars="200" w:firstLine="420"/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答：以公司前不久公告为准，公司</w:t>
            </w:r>
            <w:r w:rsidR="00A80CB0" w:rsidRPr="00A80CB0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向世界领先的另类资产管理公司</w:t>
            </w:r>
            <w:r w:rsidR="00A80CB0" w:rsidRPr="00A80CB0"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TPG集团提供总规模近1GW的光伏电站资产，涉及35个海外光伏电站项目。其中包含了高效组件、跟踪支架、</w:t>
            </w:r>
            <w:proofErr w:type="gramStart"/>
            <w:r w:rsidR="00A80CB0" w:rsidRPr="00A80CB0"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天合优配智能</w:t>
            </w:r>
            <w:proofErr w:type="gramEnd"/>
            <w:r w:rsidR="00A80CB0" w:rsidRPr="00A80CB0"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解决方案，并包括电站开发、设计、采购及EPC管理服务的一揽子整体解决方案。对公司来说，打通</w:t>
            </w:r>
            <w:r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核心竞争优势带来了更高的毛利</w:t>
            </w:r>
            <w:r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。</w:t>
            </w:r>
            <w:r w:rsidR="00A80CB0" w:rsidRPr="00A80CB0"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对终端客户来说，电站最终收益显著提升，更为</w:t>
            </w:r>
            <w:r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其提供了一站式，高质量的电站金融资产服务。这将会是一个中国光</w:t>
            </w:r>
            <w:proofErr w:type="gramStart"/>
            <w:r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伏</w:t>
            </w:r>
            <w:r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行</w:t>
            </w:r>
            <w:r w:rsidR="00A80CB0" w:rsidRPr="00A80CB0"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业</w:t>
            </w:r>
            <w:proofErr w:type="gramEnd"/>
            <w:r w:rsidR="00A80CB0" w:rsidRPr="00A80CB0"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走向国际市场的一个新的价值增长领域。放眼全球，有能力提供一站式整体解决方案的公司难觅踪迹，但</w:t>
            </w:r>
            <w:r w:rsidR="00A80CB0" w:rsidRPr="00A80CB0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天合光能已凭借其多年深耕，依托组件品牌的全球认可度、全球电站开发的布局和经验、国际化和属地化的开发团队、以及对客户需求的深度理解，获得全球知名客户的认可，走通了这条可持续的利润增长模式。</w:t>
            </w:r>
          </w:p>
          <w:p w14:paraId="56925D89" w14:textId="76C10C14" w:rsidR="00A80CB0" w:rsidRPr="00A80CB0" w:rsidRDefault="00A80CB0" w:rsidP="00A80CB0">
            <w:pPr>
              <w:pStyle w:val="aa"/>
              <w:widowControl/>
              <w:numPr>
                <w:ilvl w:val="0"/>
                <w:numId w:val="2"/>
              </w:numPr>
              <w:spacing w:before="240" w:after="240" w:line="276" w:lineRule="auto"/>
              <w:ind w:firstLineChars="0"/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</w:pPr>
            <w:bookmarkStart w:id="0" w:name="_GoBack"/>
            <w:bookmarkEnd w:id="0"/>
            <w:r w:rsidRPr="00A80CB0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对行业大尺寸之争的看法？</w:t>
            </w:r>
          </w:p>
          <w:p w14:paraId="481B2284" w14:textId="2710326B" w:rsidR="00A80CB0" w:rsidRPr="00F85411" w:rsidRDefault="00A80CB0" w:rsidP="00A80CB0">
            <w:pPr>
              <w:widowControl/>
              <w:spacing w:before="240" w:after="240" w:line="276" w:lineRule="auto"/>
              <w:ind w:firstLineChars="200" w:firstLine="420"/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</w:pPr>
            <w:r w:rsidRPr="00F85411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答：</w:t>
            </w:r>
            <w:r w:rsidRPr="00A80CB0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高功率、大尺寸是行业的大势所趋，更快速地进入超高功率时代，才能更好地为客户提供更高的价值。天合当前从产品到服务可以表述为三个层次：第一层次是尽快夯实基于大尺寸电池的先进组件产能规模，第二层次是基于大规模组件先进产能建立</w:t>
            </w:r>
            <w:r w:rsidRPr="00A80CB0"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 xml:space="preserve"> </w:t>
            </w:r>
            <w:r w:rsidRPr="00A80CB0"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“</w:t>
            </w:r>
            <w:r w:rsidRPr="00A80CB0"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600W+光伏开</w:t>
            </w:r>
            <w:r w:rsidRPr="00A80CB0"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lastRenderedPageBreak/>
              <w:t>放新生态联盟</w:t>
            </w:r>
            <w:r w:rsidRPr="00A80CB0"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”</w:t>
            </w:r>
            <w:r w:rsidRPr="00A80CB0"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，推动联盟成员的产业链上下游联动，加快</w:t>
            </w:r>
            <w:r w:rsidRPr="00A80CB0"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“</w:t>
            </w:r>
            <w:r w:rsidRPr="00A80CB0"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产业链</w:t>
            </w:r>
            <w:r w:rsidRPr="00A80CB0"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”</w:t>
            </w:r>
            <w:r w:rsidRPr="00A80CB0"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向</w:t>
            </w:r>
            <w:r w:rsidRPr="00A80CB0"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“</w:t>
            </w:r>
            <w:r w:rsidRPr="00A80CB0"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价值链</w:t>
            </w:r>
            <w:r w:rsidRPr="00A80CB0"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”</w:t>
            </w:r>
            <w:r w:rsidRPr="00A80CB0"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的转变，第三层次依托天合光能的全球品牌和渠道优势，凭借先进的组件产能和开放式的产业联盟各适配产品，前瞻性地为客户提供专业的整体服务，不断为客户放大价值，增加客户黏度，稳步</w:t>
            </w:r>
            <w:proofErr w:type="gramStart"/>
            <w:r w:rsidRPr="00A80CB0"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攀升市</w:t>
            </w:r>
            <w:proofErr w:type="gramEnd"/>
            <w:r w:rsidRPr="00A80CB0"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  <w:t>占率。</w:t>
            </w:r>
          </w:p>
          <w:p w14:paraId="498E9BC2" w14:textId="2FED6716" w:rsidR="00C01B19" w:rsidRPr="0028017B" w:rsidRDefault="00C01B19" w:rsidP="0028017B">
            <w:pPr>
              <w:pStyle w:val="aa"/>
              <w:widowControl/>
              <w:numPr>
                <w:ilvl w:val="0"/>
                <w:numId w:val="2"/>
              </w:numPr>
              <w:spacing w:before="240" w:after="240" w:line="276" w:lineRule="auto"/>
              <w:ind w:firstLineChars="0"/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</w:pPr>
            <w:r w:rsidRPr="0028017B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天合的供应链和渠道</w:t>
            </w:r>
            <w:r w:rsidR="0028017B" w:rsidRPr="0028017B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管理</w:t>
            </w:r>
            <w:r w:rsidR="0028017B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优势</w:t>
            </w:r>
            <w:r w:rsidRPr="0028017B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？</w:t>
            </w:r>
          </w:p>
          <w:p w14:paraId="62D06C6E" w14:textId="06F7C1F5" w:rsidR="00C01B19" w:rsidRPr="00A80CB0" w:rsidRDefault="00A80CB0" w:rsidP="00A80CB0">
            <w:pPr>
              <w:widowControl/>
              <w:spacing w:before="240" w:after="240" w:line="276" w:lineRule="auto"/>
              <w:ind w:firstLineChars="200" w:firstLine="420"/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答：</w:t>
            </w:r>
            <w:r w:rsidR="00C01B19" w:rsidRPr="00A80CB0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从第三方评价来看，无论是客户还是融资的银行，天合都是领先的；另一方面天合一直都是全球布局，欧洲、北美、拉美、亚太天合都有相应的布局，尤其是在分布式布局上比较领先。未来提升欧美和分布式市场</w:t>
            </w:r>
            <w:proofErr w:type="gramStart"/>
            <w:r w:rsidR="00C01B19" w:rsidRPr="00A80CB0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市占率是</w:t>
            </w:r>
            <w:proofErr w:type="gramEnd"/>
            <w:r w:rsidR="00C01B19" w:rsidRPr="00A80CB0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天合的两大目标，这两个市场毛利率</w:t>
            </w:r>
            <w:r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也</w:t>
            </w:r>
            <w:r w:rsidR="00C01B19" w:rsidRPr="00A80CB0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比较高。此外在品牌方面，天合是历史最悠久的组件企业，一直在第一梯队，公司已经超出了组件提供商的范畴，为下游客户创造了很多附加价值。</w:t>
            </w:r>
          </w:p>
          <w:p w14:paraId="70DC9E89" w14:textId="3F66019F" w:rsidR="00C01B19" w:rsidRPr="00A80CB0" w:rsidRDefault="00A80CB0" w:rsidP="00A80CB0">
            <w:pPr>
              <w:pStyle w:val="aa"/>
              <w:widowControl/>
              <w:numPr>
                <w:ilvl w:val="0"/>
                <w:numId w:val="2"/>
              </w:numPr>
              <w:spacing w:before="240" w:after="240" w:line="276" w:lineRule="auto"/>
              <w:ind w:firstLineChars="0"/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公司有没有</w:t>
            </w:r>
            <w:r w:rsidR="0028017B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在硅片领域的产能规划？</w:t>
            </w:r>
          </w:p>
          <w:p w14:paraId="0B918E44" w14:textId="69326FF4" w:rsidR="00027983" w:rsidRPr="0028017B" w:rsidRDefault="00C01B19" w:rsidP="0028017B">
            <w:pPr>
              <w:widowControl/>
              <w:spacing w:before="240" w:after="240" w:line="276" w:lineRule="auto"/>
              <w:ind w:firstLineChars="200" w:firstLine="420"/>
              <w:rPr>
                <w:rFonts w:ascii="楷体_GB2312" w:eastAsia="楷体_GB2312" w:hAnsi="宋体" w:cs="宋体"/>
                <w:bCs/>
                <w:color w:val="393939"/>
                <w:kern w:val="0"/>
                <w:szCs w:val="21"/>
              </w:rPr>
            </w:pPr>
            <w:r w:rsidRPr="00A80CB0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答：</w:t>
            </w:r>
            <w:r w:rsidR="0028017B" w:rsidRPr="00A80CB0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目前没有自己规划</w:t>
            </w:r>
            <w:r w:rsidRPr="00A80CB0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硅片上的投资，目前硅片行业的供应</w:t>
            </w:r>
            <w:r w:rsidR="0028017B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是充足的，公司认为</w:t>
            </w:r>
            <w:r w:rsidRPr="00A80CB0">
              <w:rPr>
                <w:rFonts w:ascii="楷体_GB2312" w:eastAsia="楷体_GB2312" w:hAnsi="宋体" w:cs="宋体" w:hint="eastAsia"/>
                <w:bCs/>
                <w:color w:val="393939"/>
                <w:kern w:val="0"/>
                <w:szCs w:val="21"/>
              </w:rPr>
              <w:t>未来拥有硅片和不拥有硅片的组件厂商盈利能力的差别会逐渐缩小。</w:t>
            </w:r>
          </w:p>
        </w:tc>
      </w:tr>
      <w:tr w:rsidR="00027983" w:rsidRPr="00027983" w14:paraId="1DAFC11C" w14:textId="77777777" w:rsidTr="00D927D8">
        <w:trPr>
          <w:trHeight w:val="77"/>
        </w:trPr>
        <w:tc>
          <w:tcPr>
            <w:tcW w:w="1838" w:type="dxa"/>
            <w:vAlign w:val="center"/>
          </w:tcPr>
          <w:p w14:paraId="55A00547" w14:textId="77777777" w:rsidR="00027983" w:rsidRPr="00027983" w:rsidRDefault="00027983" w:rsidP="00027983">
            <w:pPr>
              <w:spacing w:line="360" w:lineRule="exact"/>
              <w:jc w:val="center"/>
              <w:rPr>
                <w:rFonts w:ascii="楷体" w:eastAsia="楷体" w:hAnsi="楷体" w:cs="Times New Roman"/>
                <w:b/>
                <w:bCs/>
                <w:sz w:val="22"/>
              </w:rPr>
            </w:pPr>
            <w:r w:rsidRPr="00027983">
              <w:rPr>
                <w:rFonts w:ascii="楷体" w:eastAsia="楷体" w:hAnsi="楷体" w:cs="Times New Roman" w:hint="eastAsia"/>
                <w:b/>
                <w:bCs/>
                <w:sz w:val="22"/>
              </w:rPr>
              <w:lastRenderedPageBreak/>
              <w:t>附件</w:t>
            </w:r>
            <w:r w:rsidRPr="00027983">
              <w:rPr>
                <w:rFonts w:ascii="楷体" w:eastAsia="楷体" w:hAnsi="楷体" w:cs="Times New Roman"/>
                <w:b/>
                <w:bCs/>
                <w:sz w:val="22"/>
              </w:rPr>
              <w:t>清单</w:t>
            </w:r>
          </w:p>
          <w:p w14:paraId="76F75E5D" w14:textId="77777777" w:rsidR="00027983" w:rsidRPr="00027983" w:rsidRDefault="00027983" w:rsidP="00027983">
            <w:pPr>
              <w:spacing w:line="360" w:lineRule="exact"/>
              <w:jc w:val="center"/>
              <w:rPr>
                <w:rFonts w:ascii="楷体" w:eastAsia="楷体" w:hAnsi="楷体" w:cs="Times New Roman"/>
                <w:sz w:val="22"/>
              </w:rPr>
            </w:pPr>
            <w:r w:rsidRPr="00027983">
              <w:rPr>
                <w:rFonts w:ascii="楷体" w:eastAsia="楷体" w:hAnsi="楷体" w:cs="Times New Roman" w:hint="eastAsia"/>
                <w:b/>
                <w:bCs/>
                <w:sz w:val="22"/>
              </w:rPr>
              <w:t>（</w:t>
            </w:r>
            <w:r w:rsidRPr="00027983">
              <w:rPr>
                <w:rFonts w:ascii="楷体" w:eastAsia="楷体" w:hAnsi="楷体" w:cs="Times New Roman"/>
                <w:b/>
                <w:bCs/>
                <w:sz w:val="22"/>
              </w:rPr>
              <w:t>如有）</w:t>
            </w:r>
          </w:p>
        </w:tc>
        <w:tc>
          <w:tcPr>
            <w:tcW w:w="6458" w:type="dxa"/>
            <w:vAlign w:val="center"/>
          </w:tcPr>
          <w:p w14:paraId="0AEC135E" w14:textId="280D43E0" w:rsidR="00027983" w:rsidRPr="00027983" w:rsidRDefault="00027983" w:rsidP="00027983">
            <w:pPr>
              <w:spacing w:line="360" w:lineRule="exact"/>
              <w:rPr>
                <w:rFonts w:ascii="楷体" w:eastAsia="楷体" w:hAnsi="楷体" w:cs="Times New Roman"/>
                <w:sz w:val="22"/>
              </w:rPr>
            </w:pPr>
            <w:r>
              <w:rPr>
                <w:rFonts w:ascii="楷体" w:eastAsia="楷体" w:hAnsi="楷体" w:cs="Times New Roman" w:hint="eastAsia"/>
                <w:sz w:val="22"/>
              </w:rPr>
              <w:t>无</w:t>
            </w:r>
          </w:p>
        </w:tc>
      </w:tr>
      <w:tr w:rsidR="00027983" w:rsidRPr="00027983" w14:paraId="2C1D12A0" w14:textId="77777777" w:rsidTr="00D927D8">
        <w:trPr>
          <w:trHeight w:val="77"/>
        </w:trPr>
        <w:tc>
          <w:tcPr>
            <w:tcW w:w="1838" w:type="dxa"/>
            <w:vAlign w:val="center"/>
          </w:tcPr>
          <w:p w14:paraId="60DB44FC" w14:textId="2AF42D0B" w:rsidR="00027983" w:rsidRPr="00027983" w:rsidRDefault="00027983" w:rsidP="00027983">
            <w:pPr>
              <w:spacing w:line="360" w:lineRule="exact"/>
              <w:jc w:val="center"/>
              <w:rPr>
                <w:rFonts w:ascii="楷体" w:eastAsia="楷体" w:hAnsi="楷体" w:cs="Times New Roman"/>
                <w:b/>
                <w:bCs/>
                <w:sz w:val="22"/>
              </w:rPr>
            </w:pPr>
            <w:r w:rsidRPr="00027983">
              <w:rPr>
                <w:rFonts w:ascii="楷体" w:eastAsia="楷体" w:hAnsi="楷体" w:cs="Times New Roman" w:hint="eastAsia"/>
                <w:b/>
                <w:bCs/>
                <w:sz w:val="22"/>
              </w:rPr>
              <w:t>日期</w:t>
            </w:r>
          </w:p>
        </w:tc>
        <w:tc>
          <w:tcPr>
            <w:tcW w:w="6458" w:type="dxa"/>
            <w:vAlign w:val="center"/>
          </w:tcPr>
          <w:p w14:paraId="56F26517" w14:textId="10478AC4" w:rsidR="00027983" w:rsidRPr="00027983" w:rsidRDefault="007A76E3" w:rsidP="00027983">
            <w:pPr>
              <w:spacing w:line="360" w:lineRule="exact"/>
              <w:rPr>
                <w:rFonts w:ascii="楷体" w:eastAsia="楷体" w:hAnsi="楷体" w:cs="Times New Roman"/>
                <w:sz w:val="22"/>
              </w:rPr>
            </w:pPr>
            <w:r>
              <w:rPr>
                <w:rFonts w:ascii="楷体" w:eastAsia="楷体" w:hAnsi="楷体" w:cs="Times New Roman" w:hint="eastAsia"/>
                <w:sz w:val="22"/>
              </w:rPr>
              <w:t>2</w:t>
            </w:r>
            <w:r>
              <w:rPr>
                <w:rFonts w:ascii="楷体" w:eastAsia="楷体" w:hAnsi="楷体" w:cs="Times New Roman"/>
                <w:sz w:val="22"/>
              </w:rPr>
              <w:t>020</w:t>
            </w:r>
            <w:r>
              <w:rPr>
                <w:rFonts w:ascii="楷体" w:eastAsia="楷体" w:hAnsi="楷体" w:cs="Times New Roman" w:hint="eastAsia"/>
                <w:sz w:val="22"/>
              </w:rPr>
              <w:t>年7月3</w:t>
            </w:r>
            <w:r>
              <w:rPr>
                <w:rFonts w:ascii="楷体" w:eastAsia="楷体" w:hAnsi="楷体" w:cs="Times New Roman"/>
                <w:sz w:val="22"/>
              </w:rPr>
              <w:t>1</w:t>
            </w:r>
            <w:r>
              <w:rPr>
                <w:rFonts w:ascii="楷体" w:eastAsia="楷体" w:hAnsi="楷体" w:cs="Times New Roman" w:hint="eastAsia"/>
                <w:sz w:val="22"/>
              </w:rPr>
              <w:t>日</w:t>
            </w:r>
          </w:p>
        </w:tc>
      </w:tr>
    </w:tbl>
    <w:p w14:paraId="24485E7A" w14:textId="0D9321C9" w:rsidR="00C3257E" w:rsidRPr="00027983" w:rsidRDefault="00C3257E">
      <w:pPr>
        <w:rPr>
          <w:sz w:val="20"/>
        </w:rPr>
      </w:pPr>
    </w:p>
    <w:sectPr w:rsidR="00C3257E" w:rsidRPr="00027983" w:rsidSect="00F302D5">
      <w:head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E4C5F" w14:textId="77777777" w:rsidR="003716F9" w:rsidRDefault="003716F9">
      <w:r>
        <w:separator/>
      </w:r>
    </w:p>
  </w:endnote>
  <w:endnote w:type="continuationSeparator" w:id="0">
    <w:p w14:paraId="6BC68266" w14:textId="77777777" w:rsidR="003716F9" w:rsidRDefault="0037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JP Regular">
    <w:altName w:val="Arial"/>
    <w:charset w:val="00"/>
    <w:family w:val="swiss"/>
    <w:pitch w:val="variable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B5770" w14:textId="77777777" w:rsidR="003716F9" w:rsidRDefault="003716F9">
      <w:r>
        <w:separator/>
      </w:r>
    </w:p>
  </w:footnote>
  <w:footnote w:type="continuationSeparator" w:id="0">
    <w:p w14:paraId="7ED0BB97" w14:textId="77777777" w:rsidR="003716F9" w:rsidRDefault="00371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C2039" w14:textId="133E4738" w:rsidR="00027983" w:rsidRDefault="00027983">
    <w:pPr>
      <w:pStyle w:val="a6"/>
    </w:pPr>
    <w:r w:rsidRPr="00027983">
      <w:rPr>
        <w:rFonts w:ascii="楷体" w:eastAsia="楷体" w:hAnsi="楷体" w:hint="eastAsia"/>
      </w:rPr>
      <w:t>证券代码：6</w:t>
    </w:r>
    <w:r w:rsidRPr="00027983">
      <w:rPr>
        <w:rFonts w:ascii="楷体" w:eastAsia="楷体" w:hAnsi="楷体"/>
      </w:rPr>
      <w:t>88599</w:t>
    </w:r>
    <w:r>
      <w:ptab w:relativeTo="margin" w:alignment="center" w:leader="none"/>
    </w:r>
    <w:r>
      <w:ptab w:relativeTo="margin" w:alignment="right" w:leader="none"/>
    </w:r>
    <w:r w:rsidRPr="00027983">
      <w:rPr>
        <w:rFonts w:ascii="楷体" w:eastAsia="楷体" w:hAnsi="楷体" w:hint="eastAsia"/>
      </w:rPr>
      <w:t>证券简称：天合光能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3B18"/>
    <w:multiLevelType w:val="hybridMultilevel"/>
    <w:tmpl w:val="A056A7D0"/>
    <w:lvl w:ilvl="0" w:tplc="A2703FEC">
      <w:start w:val="1"/>
      <w:numFmt w:val="japaneseCounting"/>
      <w:lvlText w:val="%1、"/>
      <w:lvlJc w:val="left"/>
      <w:pPr>
        <w:ind w:left="86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C4C44FF"/>
    <w:multiLevelType w:val="hybridMultilevel"/>
    <w:tmpl w:val="5B2E48F4"/>
    <w:lvl w:ilvl="0" w:tplc="2F983B6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" w15:restartNumberingAfterBreak="0">
    <w:nsid w:val="26414978"/>
    <w:multiLevelType w:val="hybridMultilevel"/>
    <w:tmpl w:val="1A0ED1BA"/>
    <w:lvl w:ilvl="0" w:tplc="1FECFDCC">
      <w:start w:val="4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F6F78B8"/>
    <w:multiLevelType w:val="hybridMultilevel"/>
    <w:tmpl w:val="5ADE604E"/>
    <w:lvl w:ilvl="0" w:tplc="1778B05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4" w15:restartNumberingAfterBreak="0">
    <w:nsid w:val="31F716AF"/>
    <w:multiLevelType w:val="hybridMultilevel"/>
    <w:tmpl w:val="6C6E31BC"/>
    <w:lvl w:ilvl="0" w:tplc="329609C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5" w15:restartNumberingAfterBreak="0">
    <w:nsid w:val="3B0D1513"/>
    <w:multiLevelType w:val="hybridMultilevel"/>
    <w:tmpl w:val="9F62DF94"/>
    <w:lvl w:ilvl="0" w:tplc="BB20449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6" w15:restartNumberingAfterBreak="0">
    <w:nsid w:val="4B165324"/>
    <w:multiLevelType w:val="hybridMultilevel"/>
    <w:tmpl w:val="9ADEC2AE"/>
    <w:lvl w:ilvl="0" w:tplc="2812A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6E610AF"/>
    <w:multiLevelType w:val="hybridMultilevel"/>
    <w:tmpl w:val="3926AF82"/>
    <w:lvl w:ilvl="0" w:tplc="9A24022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8" w15:restartNumberingAfterBreak="0">
    <w:nsid w:val="646A04DB"/>
    <w:multiLevelType w:val="hybridMultilevel"/>
    <w:tmpl w:val="E8B87F86"/>
    <w:lvl w:ilvl="0" w:tplc="2AE8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F107782"/>
    <w:multiLevelType w:val="hybridMultilevel"/>
    <w:tmpl w:val="FCD2B28A"/>
    <w:lvl w:ilvl="0" w:tplc="72F49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F6"/>
    <w:rsid w:val="00027983"/>
    <w:rsid w:val="0013199C"/>
    <w:rsid w:val="001A3BD7"/>
    <w:rsid w:val="001D71AA"/>
    <w:rsid w:val="001E4764"/>
    <w:rsid w:val="00216477"/>
    <w:rsid w:val="002378D8"/>
    <w:rsid w:val="0028017B"/>
    <w:rsid w:val="00367F53"/>
    <w:rsid w:val="003716F9"/>
    <w:rsid w:val="00513FBA"/>
    <w:rsid w:val="0052664D"/>
    <w:rsid w:val="005A1BCA"/>
    <w:rsid w:val="005C0D11"/>
    <w:rsid w:val="005D76D0"/>
    <w:rsid w:val="0062025D"/>
    <w:rsid w:val="0065021A"/>
    <w:rsid w:val="006F29C4"/>
    <w:rsid w:val="007328AA"/>
    <w:rsid w:val="00790A89"/>
    <w:rsid w:val="007A76E3"/>
    <w:rsid w:val="007C3789"/>
    <w:rsid w:val="00804DE4"/>
    <w:rsid w:val="00823D01"/>
    <w:rsid w:val="00897A9D"/>
    <w:rsid w:val="008E3189"/>
    <w:rsid w:val="008F63AD"/>
    <w:rsid w:val="00940F7C"/>
    <w:rsid w:val="009C6013"/>
    <w:rsid w:val="00A31DAD"/>
    <w:rsid w:val="00A644DC"/>
    <w:rsid w:val="00A747DF"/>
    <w:rsid w:val="00A80CB0"/>
    <w:rsid w:val="00AE3BEF"/>
    <w:rsid w:val="00B10A42"/>
    <w:rsid w:val="00B42F3D"/>
    <w:rsid w:val="00BA4F14"/>
    <w:rsid w:val="00BE0EED"/>
    <w:rsid w:val="00C01B19"/>
    <w:rsid w:val="00C0724F"/>
    <w:rsid w:val="00C24E88"/>
    <w:rsid w:val="00C3257E"/>
    <w:rsid w:val="00C500E8"/>
    <w:rsid w:val="00C51214"/>
    <w:rsid w:val="00C71E0C"/>
    <w:rsid w:val="00CA05E7"/>
    <w:rsid w:val="00CA4DB0"/>
    <w:rsid w:val="00CA5C16"/>
    <w:rsid w:val="00CE2BF6"/>
    <w:rsid w:val="00D159F1"/>
    <w:rsid w:val="00D21B68"/>
    <w:rsid w:val="00D90E2C"/>
    <w:rsid w:val="00DD4AC4"/>
    <w:rsid w:val="00E425A1"/>
    <w:rsid w:val="00E42829"/>
    <w:rsid w:val="00EB14B2"/>
    <w:rsid w:val="00F0175E"/>
    <w:rsid w:val="00F229D9"/>
    <w:rsid w:val="00F302D5"/>
    <w:rsid w:val="00F85411"/>
    <w:rsid w:val="00FB19DB"/>
    <w:rsid w:val="00FB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F364F"/>
  <w15:chartTrackingRefBased/>
  <w15:docId w15:val="{3DBCE95F-0B94-48F8-BD72-3CAB83F6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2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E2BF6"/>
    <w:rPr>
      <w:sz w:val="18"/>
      <w:szCs w:val="18"/>
    </w:rPr>
  </w:style>
  <w:style w:type="paragraph" w:customStyle="1" w:styleId="Default">
    <w:name w:val="Default"/>
    <w:rsid w:val="00CE2B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table" w:customStyle="1" w:styleId="1">
    <w:name w:val="网格型1"/>
    <w:basedOn w:val="a1"/>
    <w:next w:val="a5"/>
    <w:uiPriority w:val="39"/>
    <w:rsid w:val="00CE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E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0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500E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4282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42829"/>
    <w:rPr>
      <w:sz w:val="18"/>
      <w:szCs w:val="18"/>
    </w:rPr>
  </w:style>
  <w:style w:type="paragraph" w:styleId="aa">
    <w:name w:val="List Paragraph"/>
    <w:basedOn w:val="a"/>
    <w:uiPriority w:val="34"/>
    <w:qFormat/>
    <w:rsid w:val="001319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1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7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 olivia</dc:creator>
  <cp:keywords/>
  <dc:description/>
  <cp:lastModifiedBy>杨 帆</cp:lastModifiedBy>
  <cp:revision>15</cp:revision>
  <cp:lastPrinted>2020-06-19T01:05:00Z</cp:lastPrinted>
  <dcterms:created xsi:type="dcterms:W3CDTF">2020-06-12T03:18:00Z</dcterms:created>
  <dcterms:modified xsi:type="dcterms:W3CDTF">2020-07-31T07:42:00Z</dcterms:modified>
</cp:coreProperties>
</file>