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CDBFB" w14:textId="28D96E35" w:rsidR="00AB3BB3" w:rsidRDefault="00FB1B41" w:rsidP="00296CD2">
      <w:pPr>
        <w:ind w:firstLineChars="50" w:firstLine="12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证券代码</w:t>
      </w:r>
      <w:r>
        <w:rPr>
          <w:rFonts w:ascii="黑体" w:eastAsia="黑体" w:hAnsi="黑体"/>
          <w:b/>
          <w:sz w:val="24"/>
          <w:szCs w:val="24"/>
        </w:rPr>
        <w:t>：</w:t>
      </w:r>
      <w:r>
        <w:rPr>
          <w:rFonts w:ascii="黑体" w:eastAsia="黑体" w:hAnsi="黑体" w:hint="eastAsia"/>
          <w:b/>
          <w:sz w:val="24"/>
          <w:szCs w:val="24"/>
        </w:rPr>
        <w:t xml:space="preserve">002791 </w:t>
      </w:r>
      <w:r w:rsidR="00F64759">
        <w:rPr>
          <w:rFonts w:ascii="黑体" w:eastAsia="黑体" w:hAnsi="黑体"/>
          <w:b/>
          <w:sz w:val="24"/>
          <w:szCs w:val="24"/>
        </w:rPr>
        <w:t xml:space="preserve">   </w:t>
      </w:r>
      <w:r>
        <w:rPr>
          <w:rFonts w:ascii="黑体" w:eastAsia="黑体" w:hAnsi="黑体"/>
          <w:b/>
          <w:sz w:val="24"/>
          <w:szCs w:val="24"/>
        </w:rPr>
        <w:t xml:space="preserve">    </w:t>
      </w:r>
      <w:r w:rsidR="00F64759">
        <w:rPr>
          <w:rFonts w:ascii="黑体" w:eastAsia="黑体" w:hAnsi="黑体"/>
          <w:b/>
          <w:sz w:val="24"/>
          <w:szCs w:val="24"/>
        </w:rPr>
        <w:t xml:space="preserve"> </w:t>
      </w:r>
      <w:r>
        <w:rPr>
          <w:rFonts w:ascii="黑体" w:eastAsia="黑体" w:hAnsi="黑体"/>
          <w:b/>
          <w:sz w:val="24"/>
          <w:szCs w:val="24"/>
        </w:rPr>
        <w:t xml:space="preserve">  </w:t>
      </w:r>
      <w:r>
        <w:rPr>
          <w:rFonts w:ascii="黑体" w:eastAsia="黑体" w:hAnsi="黑体" w:hint="eastAsia"/>
          <w:b/>
          <w:sz w:val="24"/>
          <w:szCs w:val="24"/>
        </w:rPr>
        <w:t xml:space="preserve"> 证券简称</w:t>
      </w:r>
      <w:r>
        <w:rPr>
          <w:rFonts w:ascii="黑体" w:eastAsia="黑体" w:hAnsi="黑体"/>
          <w:b/>
          <w:sz w:val="24"/>
          <w:szCs w:val="24"/>
        </w:rPr>
        <w:t>：坚朗五金</w:t>
      </w:r>
      <w:r>
        <w:rPr>
          <w:rFonts w:ascii="黑体" w:eastAsia="黑体" w:hAnsi="黑体" w:hint="eastAsia"/>
          <w:b/>
          <w:sz w:val="24"/>
          <w:szCs w:val="24"/>
        </w:rPr>
        <w:t xml:space="preserve">  </w:t>
      </w:r>
      <w:r>
        <w:rPr>
          <w:rFonts w:ascii="黑体" w:eastAsia="黑体" w:hAnsi="黑体"/>
          <w:b/>
          <w:sz w:val="24"/>
          <w:szCs w:val="24"/>
        </w:rPr>
        <w:t xml:space="preserve">   </w:t>
      </w:r>
      <w:r w:rsidR="00F64759">
        <w:rPr>
          <w:rFonts w:ascii="黑体" w:eastAsia="黑体" w:hAnsi="黑体"/>
          <w:b/>
          <w:sz w:val="24"/>
          <w:szCs w:val="24"/>
        </w:rPr>
        <w:t xml:space="preserve">  </w:t>
      </w:r>
      <w:r>
        <w:rPr>
          <w:rFonts w:ascii="黑体" w:eastAsia="黑体" w:hAnsi="黑体"/>
          <w:b/>
          <w:sz w:val="24"/>
          <w:szCs w:val="24"/>
        </w:rPr>
        <w:t xml:space="preserve">     </w:t>
      </w:r>
      <w:r>
        <w:rPr>
          <w:rFonts w:ascii="黑体" w:eastAsia="黑体" w:hAnsi="黑体" w:hint="eastAsia"/>
          <w:b/>
          <w:sz w:val="24"/>
          <w:szCs w:val="24"/>
        </w:rPr>
        <w:t>编号：</w:t>
      </w:r>
      <w:r w:rsidR="00C30DF2">
        <w:rPr>
          <w:rFonts w:ascii="黑体" w:eastAsia="黑体" w:hAnsi="黑体" w:hint="eastAsia"/>
          <w:b/>
          <w:sz w:val="24"/>
          <w:szCs w:val="24"/>
        </w:rPr>
        <w:t>2020</w:t>
      </w:r>
      <w:r w:rsidRPr="009361E9">
        <w:rPr>
          <w:rFonts w:ascii="黑体" w:eastAsia="黑体" w:hAnsi="黑体" w:hint="eastAsia"/>
          <w:b/>
          <w:sz w:val="24"/>
          <w:szCs w:val="24"/>
        </w:rPr>
        <w:t>-</w:t>
      </w:r>
      <w:r w:rsidR="00C30DF2">
        <w:rPr>
          <w:rFonts w:ascii="黑体" w:eastAsia="黑体" w:hAnsi="黑体"/>
          <w:b/>
          <w:sz w:val="24"/>
          <w:szCs w:val="24"/>
        </w:rPr>
        <w:t>0</w:t>
      </w:r>
      <w:r w:rsidR="007135F7">
        <w:rPr>
          <w:rFonts w:ascii="黑体" w:eastAsia="黑体" w:hAnsi="黑体"/>
          <w:b/>
          <w:sz w:val="24"/>
          <w:szCs w:val="24"/>
        </w:rPr>
        <w:t>2</w:t>
      </w:r>
      <w:r w:rsidR="004031EC">
        <w:rPr>
          <w:rFonts w:ascii="黑体" w:eastAsia="黑体" w:hAnsi="黑体"/>
          <w:b/>
          <w:sz w:val="24"/>
          <w:szCs w:val="24"/>
        </w:rPr>
        <w:t>6</w:t>
      </w:r>
    </w:p>
    <w:p w14:paraId="4A9FE2BB" w14:textId="77777777" w:rsidR="00FB1B41" w:rsidRPr="00F64759" w:rsidRDefault="00FB1B41">
      <w:pPr>
        <w:rPr>
          <w:rFonts w:ascii="黑体" w:eastAsia="黑体" w:hAnsi="黑体"/>
          <w:sz w:val="30"/>
          <w:szCs w:val="30"/>
        </w:rPr>
      </w:pPr>
    </w:p>
    <w:p w14:paraId="72CA02C3" w14:textId="77777777" w:rsidR="00FB1B41" w:rsidRPr="00F64759" w:rsidRDefault="00F64759" w:rsidP="00F64759">
      <w:pPr>
        <w:jc w:val="center"/>
        <w:rPr>
          <w:rFonts w:ascii="黑体" w:eastAsia="黑体" w:hAnsi="黑体"/>
          <w:b/>
          <w:sz w:val="30"/>
          <w:szCs w:val="30"/>
        </w:rPr>
      </w:pPr>
      <w:r w:rsidRPr="00F64759">
        <w:rPr>
          <w:rFonts w:ascii="黑体" w:eastAsia="黑体" w:hAnsi="黑体" w:hint="eastAsia"/>
          <w:b/>
          <w:sz w:val="30"/>
          <w:szCs w:val="30"/>
        </w:rPr>
        <w:t>广东坚朗五金制品股份有限公司</w:t>
      </w:r>
    </w:p>
    <w:p w14:paraId="4AD8E315" w14:textId="77777777" w:rsidR="00F64759" w:rsidRDefault="00F64759" w:rsidP="00F64759">
      <w:pPr>
        <w:jc w:val="center"/>
        <w:rPr>
          <w:rFonts w:ascii="黑体" w:eastAsia="黑体" w:hAnsi="黑体"/>
          <w:b/>
          <w:sz w:val="30"/>
          <w:szCs w:val="30"/>
        </w:rPr>
      </w:pPr>
      <w:r w:rsidRPr="00F64759">
        <w:rPr>
          <w:rFonts w:ascii="黑体" w:eastAsia="黑体" w:hAnsi="黑体" w:hint="eastAsia"/>
          <w:b/>
          <w:sz w:val="30"/>
          <w:szCs w:val="30"/>
        </w:rPr>
        <w:t>投资者关系活动记录表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6650"/>
      </w:tblGrid>
      <w:tr w:rsidR="00F64759" w:rsidRPr="00382882" w14:paraId="3146FCF5" w14:textId="77777777" w:rsidTr="000B7E77">
        <w:trPr>
          <w:trHeight w:val="2553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7D8C7A5C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 xml:space="preserve">                                             </w:t>
            </w: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投资者关系</w:t>
            </w:r>
          </w:p>
          <w:p w14:paraId="113F248B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活动类别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E69AB8F" w14:textId="31FB10B4" w:rsidR="00F64759" w:rsidRPr="00382882" w:rsidRDefault="004031EC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 xml:space="preserve">特定对象调研        </w:t>
            </w:r>
            <w:r w:rsidR="00F64759"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>分析师会议</w:t>
            </w:r>
          </w:p>
          <w:p w14:paraId="76E7563A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 xml:space="preserve">媒体采访            </w:t>
            </w: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>业绩说明会</w:t>
            </w:r>
          </w:p>
          <w:p w14:paraId="23E3E1A3" w14:textId="4B8AE936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 xml:space="preserve">新闻发布会          </w:t>
            </w: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>路演活动</w:t>
            </w:r>
            <w:r w:rsidR="00EE057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7853F9B6" w14:textId="5CBAB3C4" w:rsidR="00F64759" w:rsidRPr="00382882" w:rsidRDefault="000225EF" w:rsidP="00DF589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□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>现场参观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ab/>
            </w:r>
          </w:p>
          <w:p w14:paraId="489FB09B" w14:textId="3C7E2C92" w:rsidR="00F64759" w:rsidRPr="000225EF" w:rsidRDefault="004031EC" w:rsidP="00BE5800">
            <w:pPr>
              <w:tabs>
                <w:tab w:val="center" w:pos="3199"/>
              </w:tabs>
              <w:spacing w:line="480" w:lineRule="atLeast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仿宋" w:eastAsia="仿宋" w:hAnsi="仿宋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Symbol" w16se:char="2611"/>
                </mc:Choice>
                <mc:Fallback>
                  <w:t>☑</w:t>
                </mc:Fallback>
              </mc:AlternateConten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（电话会议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F64759" w:rsidRPr="00382882" w14:paraId="74A19D2A" w14:textId="77777777" w:rsidTr="000B7E77">
        <w:trPr>
          <w:trHeight w:val="1340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0B6303E5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B39F751" w14:textId="77777777" w:rsidR="00F52B13" w:rsidRDefault="00F52B13" w:rsidP="00744105">
            <w:pPr>
              <w:spacing w:line="276" w:lineRule="auto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</w:p>
          <w:p w14:paraId="2842EF52" w14:textId="3F0EF0D5" w:rsidR="007135F7" w:rsidRPr="00F52B13" w:rsidRDefault="00A54049" w:rsidP="00744105">
            <w:pPr>
              <w:spacing w:line="276" w:lineRule="auto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国信证券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黄道立、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人保资产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长江养老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恒生前海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基金、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中银基金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盈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峰资本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安信证券、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国投瑞银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大家资产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、大成基金、</w:t>
            </w:r>
            <w:r w:rsidR="00F52B13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南方基金</w:t>
            </w:r>
            <w:r w:rsidR="00F52B13"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 w:rsidR="00F52B13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中信保诚</w:t>
            </w:r>
            <w:r w:rsidR="00F52B13"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 w:rsidR="00F52B13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人寿养老等28位</w:t>
            </w:r>
            <w:r w:rsidR="00F52B13">
              <w:rPr>
                <w:rFonts w:ascii="仿宋" w:eastAsia="仿宋" w:hAnsi="仿宋"/>
                <w:bCs/>
                <w:iCs/>
                <w:sz w:val="24"/>
                <w:szCs w:val="24"/>
              </w:rPr>
              <w:t>机构投资者参加本次电话会议。</w:t>
            </w:r>
          </w:p>
          <w:p w14:paraId="1969384D" w14:textId="3FF6270A" w:rsidR="00833A4A" w:rsidRPr="00744105" w:rsidRDefault="00833A4A" w:rsidP="0002382F">
            <w:pPr>
              <w:spacing w:line="276" w:lineRule="auto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</w:p>
        </w:tc>
      </w:tr>
      <w:tr w:rsidR="00F64759" w:rsidRPr="00382882" w14:paraId="3F9723AD" w14:textId="77777777" w:rsidTr="000B7E77">
        <w:trPr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77174120" w14:textId="77777777" w:rsidR="00F64759" w:rsidRPr="00382882" w:rsidRDefault="00F64759" w:rsidP="000B7E77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22A65FB" w14:textId="53563658" w:rsidR="00F64759" w:rsidRPr="00382882" w:rsidRDefault="00A97FEA" w:rsidP="00EE0577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年</w:t>
            </w:r>
            <w:r w:rsidR="00313607">
              <w:rPr>
                <w:rFonts w:ascii="仿宋" w:eastAsia="仿宋" w:hAnsi="仿宋"/>
                <w:bCs/>
                <w:iCs/>
                <w:sz w:val="24"/>
                <w:szCs w:val="24"/>
              </w:rPr>
              <w:t>7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月</w:t>
            </w:r>
            <w:r w:rsidR="00B26756">
              <w:rPr>
                <w:rFonts w:ascii="仿宋" w:eastAsia="仿宋" w:hAnsi="仿宋"/>
                <w:bCs/>
                <w:iCs/>
                <w:sz w:val="24"/>
                <w:szCs w:val="24"/>
              </w:rPr>
              <w:t>16</w:t>
            </w:r>
            <w:r w:rsidR="00B3076F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F64759" w:rsidRPr="00382882" w14:paraId="310D87F5" w14:textId="77777777" w:rsidTr="000B7E77">
        <w:trPr>
          <w:trHeight w:val="527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2440875B" w14:textId="77777777" w:rsidR="00F64759" w:rsidRPr="00382882" w:rsidRDefault="00F64759" w:rsidP="000B7E77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A9569ED" w14:textId="49285625" w:rsidR="00F64759" w:rsidRPr="00382882" w:rsidRDefault="000225EF" w:rsidP="000B7E77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总部会议室</w:t>
            </w:r>
          </w:p>
        </w:tc>
      </w:tr>
      <w:tr w:rsidR="00F64759" w:rsidRPr="00382882" w14:paraId="6DA61C07" w14:textId="77777777" w:rsidTr="00543F3C">
        <w:trPr>
          <w:trHeight w:val="1414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6F259A31" w14:textId="77777777" w:rsidR="00F64759" w:rsidRPr="00382882" w:rsidRDefault="00F64759" w:rsidP="00DF5899">
            <w:pPr>
              <w:spacing w:line="480" w:lineRule="atLeast"/>
              <w:jc w:val="lef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上市公司接待</w:t>
            </w:r>
          </w:p>
          <w:p w14:paraId="109941FD" w14:textId="77777777" w:rsidR="00F64759" w:rsidRPr="00382882" w:rsidRDefault="00F64759" w:rsidP="00DF5899">
            <w:pPr>
              <w:spacing w:line="480" w:lineRule="atLeast"/>
              <w:jc w:val="lef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人员姓名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30B0B5F" w14:textId="75400E6E" w:rsidR="00866FE8" w:rsidRDefault="00B26756" w:rsidP="0059348A">
            <w:pPr>
              <w:spacing w:line="360" w:lineRule="auto"/>
              <w:jc w:val="lef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董事会秘书</w:t>
            </w:r>
            <w:r w:rsidR="00A97FEA"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殷建忠</w:t>
            </w:r>
          </w:p>
          <w:p w14:paraId="14E9EFED" w14:textId="333F3640" w:rsidR="003D20CC" w:rsidRPr="00382882" w:rsidRDefault="00B26756" w:rsidP="00B26756">
            <w:pPr>
              <w:spacing w:line="360" w:lineRule="auto"/>
              <w:jc w:val="lef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证券事务代表</w:t>
            </w:r>
            <w:r w:rsidR="003D20CC">
              <w:rPr>
                <w:rFonts w:ascii="仿宋" w:eastAsia="仿宋" w:hAnsi="仿宋"/>
                <w:bCs/>
                <w:iCs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韩爽</w:t>
            </w:r>
          </w:p>
        </w:tc>
      </w:tr>
      <w:tr w:rsidR="00F64759" w:rsidRPr="00382882" w14:paraId="753706EA" w14:textId="77777777" w:rsidTr="00DF5899">
        <w:trPr>
          <w:trHeight w:val="699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188E3CF2" w14:textId="77777777" w:rsidR="004670B6" w:rsidRPr="00382882" w:rsidRDefault="004670B6" w:rsidP="004670B6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</w:p>
          <w:p w14:paraId="23C4C1E5" w14:textId="77777777" w:rsidR="00F64759" w:rsidRPr="00382882" w:rsidRDefault="00F64759" w:rsidP="004670B6">
            <w:pPr>
              <w:spacing w:line="480" w:lineRule="atLeast"/>
              <w:jc w:val="center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650" w:type="dxa"/>
            <w:shd w:val="clear" w:color="auto" w:fill="auto"/>
          </w:tcPr>
          <w:p w14:paraId="089D1179" w14:textId="0B454D04" w:rsidR="00A71197" w:rsidRDefault="003B07FE" w:rsidP="00A7119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  <w:r w:rsidR="00A71197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4C7573" w:rsidRPr="004C7573">
              <w:rPr>
                <w:rFonts w:ascii="仿宋" w:eastAsia="仿宋" w:hAnsi="仿宋"/>
                <w:b/>
                <w:sz w:val="24"/>
                <w:szCs w:val="24"/>
              </w:rPr>
              <w:t>公司</w:t>
            </w:r>
            <w:r w:rsidR="0091111E">
              <w:rPr>
                <w:rFonts w:ascii="仿宋" w:eastAsia="仿宋" w:hAnsi="仿宋" w:hint="eastAsia"/>
                <w:b/>
                <w:sz w:val="24"/>
                <w:szCs w:val="24"/>
              </w:rPr>
              <w:t>上半年的</w:t>
            </w:r>
            <w:r w:rsidR="00D6456D">
              <w:rPr>
                <w:rFonts w:ascii="仿宋" w:eastAsia="仿宋" w:hAnsi="仿宋"/>
                <w:b/>
                <w:sz w:val="24"/>
                <w:szCs w:val="24"/>
              </w:rPr>
              <w:t>收入</w:t>
            </w:r>
            <w:r w:rsidR="00D6456D">
              <w:rPr>
                <w:rFonts w:ascii="仿宋" w:eastAsia="仿宋" w:hAnsi="仿宋" w:hint="eastAsia"/>
                <w:b/>
                <w:sz w:val="24"/>
                <w:szCs w:val="24"/>
              </w:rPr>
              <w:t>增长</w:t>
            </w:r>
            <w:r w:rsidR="0091111E">
              <w:rPr>
                <w:rFonts w:ascii="仿宋" w:eastAsia="仿宋" w:hAnsi="仿宋"/>
                <w:b/>
                <w:sz w:val="24"/>
                <w:szCs w:val="24"/>
              </w:rPr>
              <w:t>情况</w:t>
            </w:r>
            <w:r w:rsidR="00682E15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  <w:r w:rsidR="0004402A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  <w:p w14:paraId="042DCEFA" w14:textId="21A0ACD5" w:rsidR="00F855FE" w:rsidRPr="00BA1BA1" w:rsidRDefault="002248C7" w:rsidP="00882A14">
            <w:pPr>
              <w:spacing w:line="360" w:lineRule="auto"/>
              <w:ind w:firstLine="4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  <w:r>
              <w:rPr>
                <w:rFonts w:ascii="仿宋" w:eastAsia="仿宋" w:hAnsi="仿宋"/>
                <w:sz w:val="24"/>
                <w:szCs w:val="24"/>
              </w:rPr>
              <w:t>近期披露了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《2020年</w:t>
            </w:r>
            <w:r>
              <w:rPr>
                <w:rFonts w:ascii="仿宋" w:eastAsia="仿宋" w:hAnsi="仿宋"/>
                <w:sz w:val="24"/>
                <w:szCs w:val="24"/>
              </w:rPr>
              <w:t>半年度</w:t>
            </w:r>
            <w:r w:rsidR="00D6456D">
              <w:rPr>
                <w:rFonts w:ascii="仿宋" w:eastAsia="仿宋" w:hAnsi="仿宋" w:hint="eastAsia"/>
                <w:sz w:val="24"/>
                <w:szCs w:val="24"/>
              </w:rPr>
              <w:t>业绩</w:t>
            </w:r>
            <w:r>
              <w:rPr>
                <w:rFonts w:ascii="仿宋" w:eastAsia="仿宋" w:hAnsi="仿宋"/>
                <w:sz w:val="24"/>
                <w:szCs w:val="24"/>
              </w:rPr>
              <w:t>预告》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248C7">
              <w:rPr>
                <w:rFonts w:ascii="仿宋" w:eastAsia="仿宋" w:hAnsi="仿宋" w:hint="eastAsia"/>
                <w:sz w:val="24"/>
                <w:szCs w:val="24"/>
              </w:rPr>
              <w:t>预计</w:t>
            </w:r>
            <w:r w:rsidRPr="002248C7">
              <w:rPr>
                <w:rFonts w:ascii="仿宋" w:eastAsia="仿宋" w:hAnsi="仿宋"/>
                <w:sz w:val="24"/>
                <w:szCs w:val="24"/>
              </w:rPr>
              <w:t>2020年1-6月归属于上市公司股东的净利润为1.94—2.41亿元，同比增长60.78%—99.32%。</w:t>
            </w:r>
            <w:r w:rsidR="00D6456D">
              <w:rPr>
                <w:rFonts w:ascii="仿宋" w:eastAsia="仿宋" w:hAnsi="仿宋" w:hint="eastAsia"/>
                <w:sz w:val="24"/>
                <w:szCs w:val="24"/>
              </w:rPr>
              <w:t>主要因为</w:t>
            </w:r>
            <w:r w:rsidR="00D6456D" w:rsidRPr="00D6456D">
              <w:rPr>
                <w:rFonts w:ascii="仿宋" w:eastAsia="仿宋" w:hAnsi="仿宋" w:hint="eastAsia"/>
                <w:sz w:val="24"/>
                <w:szCs w:val="24"/>
              </w:rPr>
              <w:t>新冠疫情期间，公司做好防控工作的同时积极推动复产复工，整体生产、经营情况良好，销售收入较上年同期有所增长，销售费用进一步摊薄。</w:t>
            </w:r>
          </w:p>
          <w:p w14:paraId="0FCC7BE7" w14:textId="77777777" w:rsidR="00FA57F8" w:rsidRPr="002248C7" w:rsidRDefault="00FA57F8" w:rsidP="00F855FE">
            <w:pPr>
              <w:spacing w:line="360" w:lineRule="auto"/>
              <w:ind w:firstLine="495"/>
              <w:rPr>
                <w:rFonts w:ascii="仿宋" w:eastAsia="仿宋" w:hAnsi="仿宋"/>
                <w:sz w:val="24"/>
                <w:szCs w:val="24"/>
              </w:rPr>
            </w:pPr>
          </w:p>
          <w:p w14:paraId="7ED30098" w14:textId="71E05491" w:rsidR="00BC6DA3" w:rsidRDefault="003B07FE" w:rsidP="00D7258D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BC6DA3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91111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云采平台</w:t>
            </w:r>
            <w:r w:rsidR="00D6456D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的</w:t>
            </w:r>
            <w:r w:rsidR="00B76AB0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订单</w:t>
            </w:r>
            <w:r w:rsidR="00D6456D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情况</w:t>
            </w:r>
            <w:r w:rsidR="00EE057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？</w:t>
            </w:r>
          </w:p>
          <w:p w14:paraId="7D1E46E7" w14:textId="46192002" w:rsidR="00D64425" w:rsidRPr="00BA1BA1" w:rsidRDefault="00D7258D" w:rsidP="00D7258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D7258D">
              <w:rPr>
                <w:rFonts w:ascii="仿宋" w:eastAsia="仿宋" w:hAnsi="仿宋"/>
                <w:sz w:val="24"/>
                <w:szCs w:val="24"/>
              </w:rPr>
              <w:t>坚朗云采平台自2019年初正式运营，2019年度出库额约</w:t>
            </w:r>
            <w:r w:rsidRPr="00D7258D">
              <w:rPr>
                <w:rFonts w:ascii="仿宋" w:eastAsia="仿宋" w:hAnsi="仿宋"/>
                <w:sz w:val="24"/>
                <w:szCs w:val="24"/>
              </w:rPr>
              <w:lastRenderedPageBreak/>
              <w:t>1亿元左右，2020年第一季度约5千万元左右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。云采平台中虽</w:t>
            </w:r>
            <w:r>
              <w:rPr>
                <w:rFonts w:ascii="仿宋" w:eastAsia="仿宋" w:hAnsi="仿宋"/>
                <w:sz w:val="24"/>
                <w:szCs w:val="24"/>
              </w:rPr>
              <w:t>有一部分是新客户群体，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但在线上下单是</w:t>
            </w:r>
            <w:r>
              <w:rPr>
                <w:rFonts w:ascii="仿宋" w:eastAsia="仿宋" w:hAnsi="仿宋"/>
                <w:sz w:val="24"/>
                <w:szCs w:val="24"/>
              </w:rPr>
              <w:t>公司业务形式上的转变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，是</w:t>
            </w:r>
            <w:r>
              <w:rPr>
                <w:rFonts w:ascii="仿宋" w:eastAsia="仿宋" w:hAnsi="仿宋"/>
                <w:sz w:val="24"/>
                <w:szCs w:val="24"/>
              </w:rPr>
              <w:t>一个提升销售效能的方式，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并非</w:t>
            </w:r>
            <w:r>
              <w:rPr>
                <w:rFonts w:ascii="仿宋" w:eastAsia="仿宋" w:hAnsi="仿宋"/>
                <w:sz w:val="24"/>
                <w:szCs w:val="24"/>
              </w:rPr>
              <w:t>新的业务拓展</w:t>
            </w:r>
            <w:r w:rsidRPr="00D7258D"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14:paraId="6F637472" w14:textId="77777777" w:rsidR="000C5915" w:rsidRDefault="000C5915" w:rsidP="00D644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0A879AB" w14:textId="658E4E7E" w:rsidR="00FF589D" w:rsidRPr="003B07FE" w:rsidRDefault="00CE1970" w:rsidP="00FF589D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  <w:r w:rsidR="003B07FE" w:rsidRPr="003B07F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91111E">
              <w:rPr>
                <w:rFonts w:ascii="仿宋" w:eastAsia="仿宋" w:hAnsi="仿宋" w:hint="eastAsia"/>
                <w:b/>
                <w:sz w:val="24"/>
                <w:szCs w:val="24"/>
              </w:rPr>
              <w:t>原材料价格对</w:t>
            </w:r>
            <w:r w:rsidR="0091111E">
              <w:rPr>
                <w:rFonts w:ascii="仿宋" w:eastAsia="仿宋" w:hAnsi="仿宋"/>
                <w:b/>
                <w:sz w:val="24"/>
                <w:szCs w:val="24"/>
              </w:rPr>
              <w:t>公司的影响</w:t>
            </w:r>
            <w:r w:rsidR="009D51CF" w:rsidRPr="0094735B">
              <w:rPr>
                <w:rFonts w:ascii="仿宋" w:eastAsia="仿宋" w:hAnsi="仿宋"/>
                <w:b/>
                <w:sz w:val="24"/>
                <w:szCs w:val="24"/>
              </w:rPr>
              <w:t>？</w:t>
            </w:r>
          </w:p>
          <w:p w14:paraId="48A914F1" w14:textId="369A958C" w:rsidR="003B07FE" w:rsidRDefault="00882A14" w:rsidP="00A54049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882A14">
              <w:rPr>
                <w:rFonts w:ascii="仿宋" w:eastAsia="仿宋" w:hAnsi="仿宋" w:hint="eastAsia"/>
                <w:sz w:val="24"/>
                <w:szCs w:val="24"/>
              </w:rPr>
              <w:t>公司的产品分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为标准类和定制类，定制类产品会结合当期的原材料价格等因素来定价，受原材料价格等综合因素影响；</w:t>
            </w:r>
            <w:r w:rsidRPr="00882A14">
              <w:rPr>
                <w:rFonts w:ascii="仿宋" w:eastAsia="仿宋" w:hAnsi="仿宋" w:hint="eastAsia"/>
                <w:sz w:val="24"/>
                <w:szCs w:val="24"/>
              </w:rPr>
              <w:t>标准类产品为每年统一定价，非大幅原材料价格波动不做改变。</w:t>
            </w:r>
          </w:p>
          <w:p w14:paraId="6DFA4E4B" w14:textId="77777777" w:rsidR="00A54049" w:rsidRPr="00A54049" w:rsidRDefault="00A54049" w:rsidP="00A54049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0B79C68" w14:textId="698C4D2D" w:rsidR="00963861" w:rsidRPr="00963861" w:rsidRDefault="00CE1970" w:rsidP="0096386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4</w:t>
            </w:r>
            <w:r w:rsidR="003B07FE" w:rsidRPr="003B07F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91111E">
              <w:rPr>
                <w:rFonts w:ascii="仿宋" w:eastAsia="仿宋" w:hAnsi="仿宋" w:hint="eastAsia"/>
                <w:b/>
                <w:sz w:val="24"/>
                <w:szCs w:val="24"/>
              </w:rPr>
              <w:t>云采</w:t>
            </w:r>
            <w:r w:rsidR="0091111E">
              <w:rPr>
                <w:rFonts w:ascii="仿宋" w:eastAsia="仿宋" w:hAnsi="仿宋"/>
                <w:b/>
                <w:sz w:val="24"/>
                <w:szCs w:val="24"/>
              </w:rPr>
              <w:t>平台的服务</w:t>
            </w:r>
            <w:r w:rsidR="0091111E">
              <w:rPr>
                <w:rFonts w:ascii="仿宋" w:eastAsia="仿宋" w:hAnsi="仿宋" w:hint="eastAsia"/>
                <w:b/>
                <w:sz w:val="24"/>
                <w:szCs w:val="24"/>
              </w:rPr>
              <w:t>如何体现</w:t>
            </w:r>
            <w:r w:rsidR="00FF589D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14:paraId="2C5A0637" w14:textId="77777777" w:rsidR="00505F8D" w:rsidRDefault="00505F8D" w:rsidP="00505F8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云采平台</w:t>
            </w:r>
            <w:r>
              <w:rPr>
                <w:rFonts w:ascii="仿宋" w:eastAsia="仿宋" w:hAnsi="仿宋"/>
                <w:sz w:val="24"/>
                <w:szCs w:val="24"/>
              </w:rPr>
              <w:t>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2019年初</w:t>
            </w:r>
            <w:r>
              <w:rPr>
                <w:rFonts w:ascii="仿宋" w:eastAsia="仿宋" w:hAnsi="仿宋"/>
                <w:sz w:val="24"/>
                <w:szCs w:val="24"/>
              </w:rPr>
              <w:t>上线之后，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始终</w:t>
            </w:r>
            <w:r>
              <w:rPr>
                <w:rFonts w:ascii="仿宋" w:eastAsia="仿宋" w:hAnsi="仿宋"/>
                <w:sz w:val="24"/>
                <w:szCs w:val="24"/>
              </w:rPr>
              <w:t>围绕</w:t>
            </w:r>
            <w:r w:rsidRPr="00D7258D">
              <w:rPr>
                <w:rFonts w:ascii="仿宋" w:eastAsia="仿宋" w:hAnsi="仿宋"/>
                <w:sz w:val="24"/>
                <w:szCs w:val="24"/>
              </w:rPr>
              <w:t>“服务、支持、减负、增效”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D7258D">
              <w:rPr>
                <w:rFonts w:ascii="仿宋" w:eastAsia="仿宋" w:hAnsi="仿宋"/>
                <w:sz w:val="24"/>
                <w:szCs w:val="24"/>
              </w:rPr>
              <w:t>核心目标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进行</w:t>
            </w:r>
            <w:r>
              <w:rPr>
                <w:rFonts w:ascii="仿宋" w:eastAsia="仿宋" w:hAnsi="仿宋"/>
                <w:sz w:val="24"/>
                <w:szCs w:val="24"/>
              </w:rPr>
              <w:t>优化升级，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目标</w:t>
            </w:r>
            <w:r>
              <w:rPr>
                <w:rFonts w:ascii="仿宋" w:eastAsia="仿宋" w:hAnsi="仿宋"/>
                <w:sz w:val="24"/>
                <w:szCs w:val="24"/>
              </w:rPr>
              <w:t>是</w:t>
            </w:r>
            <w:r w:rsidRPr="00505F8D">
              <w:rPr>
                <w:rFonts w:ascii="仿宋" w:eastAsia="仿宋" w:hAnsi="仿宋" w:hint="eastAsia"/>
                <w:sz w:val="24"/>
                <w:szCs w:val="24"/>
              </w:rPr>
              <w:t>对内支持、服务销售，对外服务客户，满足客户自主采购需求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30701D0A" w14:textId="2E7BC4AC" w:rsidR="003B07FE" w:rsidRDefault="00505F8D" w:rsidP="00C76F5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  <w:r>
              <w:rPr>
                <w:rFonts w:ascii="仿宋" w:eastAsia="仿宋" w:hAnsi="仿宋"/>
                <w:sz w:val="24"/>
                <w:szCs w:val="24"/>
              </w:rPr>
              <w:t>将</w:t>
            </w:r>
            <w:r w:rsidRPr="00505F8D">
              <w:rPr>
                <w:rFonts w:ascii="仿宋" w:eastAsia="仿宋" w:hAnsi="仿宋" w:hint="eastAsia"/>
                <w:sz w:val="24"/>
                <w:szCs w:val="24"/>
              </w:rPr>
              <w:t>一些基础的标准化流程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放</w:t>
            </w:r>
            <w:r w:rsidRPr="00505F8D">
              <w:rPr>
                <w:rFonts w:ascii="仿宋" w:eastAsia="仿宋" w:hAnsi="仿宋" w:hint="eastAsia"/>
                <w:sz w:val="24"/>
                <w:szCs w:val="24"/>
              </w:rPr>
              <w:t>到云采平台上，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例如</w:t>
            </w:r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以往</w:t>
            </w:r>
            <w:r>
              <w:rPr>
                <w:rFonts w:ascii="仿宋" w:eastAsia="仿宋" w:hAnsi="仿宋"/>
                <w:sz w:val="24"/>
                <w:szCs w:val="24"/>
              </w:rPr>
              <w:t>需要销售人员与客户交流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之后</w:t>
            </w:r>
            <w:r>
              <w:rPr>
                <w:rFonts w:ascii="仿宋" w:eastAsia="仿宋" w:hAnsi="仿宋"/>
                <w:sz w:val="24"/>
                <w:szCs w:val="24"/>
              </w:rPr>
              <w:t>，再将订单信息录入</w:t>
            </w:r>
            <w:r w:rsidRPr="00505F8D">
              <w:rPr>
                <w:rFonts w:ascii="仿宋" w:eastAsia="仿宋" w:hAnsi="仿宋"/>
                <w:sz w:val="24"/>
                <w:szCs w:val="24"/>
              </w:rPr>
              <w:t>CRM管理平台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505F8D">
              <w:rPr>
                <w:rFonts w:ascii="仿宋" w:eastAsia="仿宋" w:hAnsi="仿宋"/>
                <w:sz w:val="24"/>
                <w:szCs w:val="24"/>
              </w:rPr>
              <w:t>而不是由客户直接交互的信息反映；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随着</w:t>
            </w:r>
            <w:r>
              <w:rPr>
                <w:rFonts w:ascii="仿宋" w:eastAsia="仿宋" w:hAnsi="仿宋"/>
                <w:sz w:val="24"/>
                <w:szCs w:val="24"/>
              </w:rPr>
              <w:t>公司品类的拓展，产品图册也越来越多，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众多</w:t>
            </w:r>
            <w:r w:rsidR="00C76F5D">
              <w:rPr>
                <w:rFonts w:ascii="仿宋" w:eastAsia="仿宋" w:hAnsi="仿宋"/>
                <w:sz w:val="24"/>
                <w:szCs w:val="24"/>
              </w:rPr>
              <w:t>的产品图册</w:t>
            </w:r>
            <w:r w:rsidR="00C76F5D">
              <w:rPr>
                <w:rFonts w:ascii="仿宋" w:eastAsia="仿宋" w:hAnsi="仿宋" w:hint="eastAsia"/>
                <w:sz w:val="24"/>
                <w:szCs w:val="24"/>
              </w:rPr>
              <w:t>不利于</w:t>
            </w:r>
            <w:r w:rsidR="00C76F5D">
              <w:rPr>
                <w:rFonts w:ascii="仿宋" w:eastAsia="仿宋" w:hAnsi="仿宋"/>
                <w:sz w:val="24"/>
                <w:szCs w:val="24"/>
              </w:rPr>
              <w:t>销售人员</w:t>
            </w:r>
            <w:r w:rsidR="00C76F5D">
              <w:rPr>
                <w:rFonts w:ascii="仿宋" w:eastAsia="仿宋" w:hAnsi="仿宋" w:hint="eastAsia"/>
                <w:sz w:val="24"/>
                <w:szCs w:val="24"/>
              </w:rPr>
              <w:t>携带</w:t>
            </w:r>
            <w:r w:rsidR="00C76F5D">
              <w:rPr>
                <w:rFonts w:ascii="仿宋" w:eastAsia="仿宋" w:hAnsi="仿宋"/>
                <w:sz w:val="24"/>
                <w:szCs w:val="24"/>
              </w:rPr>
              <w:t>和客户查阅；</w:t>
            </w:r>
            <w:r w:rsidR="00C76F5D">
              <w:rPr>
                <w:rFonts w:ascii="仿宋" w:eastAsia="仿宋" w:hAnsi="仿宋" w:hint="eastAsia"/>
                <w:sz w:val="24"/>
                <w:szCs w:val="24"/>
              </w:rPr>
              <w:t>公司将</w:t>
            </w:r>
            <w:r w:rsidR="00C76F5D">
              <w:rPr>
                <w:rFonts w:ascii="仿宋" w:eastAsia="仿宋" w:hAnsi="仿宋"/>
                <w:sz w:val="24"/>
                <w:szCs w:val="24"/>
              </w:rPr>
              <w:t>此类</w:t>
            </w:r>
            <w:r w:rsidR="00C76F5D">
              <w:rPr>
                <w:rFonts w:ascii="仿宋" w:eastAsia="仿宋" w:hAnsi="仿宋" w:hint="eastAsia"/>
                <w:sz w:val="24"/>
                <w:szCs w:val="24"/>
              </w:rPr>
              <w:t>基础</w:t>
            </w:r>
            <w:r w:rsidR="00C76F5D">
              <w:rPr>
                <w:rFonts w:ascii="仿宋" w:eastAsia="仿宋" w:hAnsi="仿宋"/>
                <w:sz w:val="24"/>
                <w:szCs w:val="24"/>
              </w:rPr>
              <w:t>工作放在</w:t>
            </w:r>
            <w:r w:rsidR="00C76F5D">
              <w:rPr>
                <w:rFonts w:ascii="仿宋" w:eastAsia="仿宋" w:hAnsi="仿宋" w:hint="eastAsia"/>
                <w:sz w:val="24"/>
                <w:szCs w:val="24"/>
              </w:rPr>
              <w:t>云采</w:t>
            </w:r>
            <w:r w:rsidR="00C76F5D">
              <w:rPr>
                <w:rFonts w:ascii="仿宋" w:eastAsia="仿宋" w:hAnsi="仿宋"/>
                <w:sz w:val="24"/>
                <w:szCs w:val="24"/>
              </w:rPr>
              <w:t>平台，</w:t>
            </w:r>
            <w:r w:rsidRPr="00505F8D">
              <w:rPr>
                <w:rFonts w:ascii="仿宋" w:eastAsia="仿宋" w:hAnsi="仿宋" w:hint="eastAsia"/>
                <w:sz w:val="24"/>
                <w:szCs w:val="24"/>
              </w:rPr>
              <w:t>给销售人员减负，从而增加人均产出。</w:t>
            </w:r>
            <w:r w:rsidR="00C76F5D">
              <w:rPr>
                <w:rFonts w:ascii="仿宋" w:eastAsia="仿宋" w:hAnsi="仿宋" w:hint="eastAsia"/>
                <w:sz w:val="24"/>
                <w:szCs w:val="24"/>
              </w:rPr>
              <w:t>客户</w:t>
            </w:r>
            <w:r w:rsidR="00C76F5D">
              <w:rPr>
                <w:rFonts w:ascii="仿宋" w:eastAsia="仿宋" w:hAnsi="仿宋"/>
                <w:sz w:val="24"/>
                <w:szCs w:val="24"/>
              </w:rPr>
              <w:t>可以通过</w:t>
            </w:r>
            <w:r w:rsidR="00C76F5D">
              <w:rPr>
                <w:rFonts w:ascii="仿宋" w:eastAsia="仿宋" w:hAnsi="仿宋" w:hint="eastAsia"/>
                <w:sz w:val="24"/>
                <w:szCs w:val="24"/>
              </w:rPr>
              <w:t>线上查阅</w:t>
            </w:r>
            <w:r w:rsidR="00C76F5D">
              <w:rPr>
                <w:rFonts w:ascii="仿宋" w:eastAsia="仿宋" w:hAnsi="仿宋"/>
                <w:sz w:val="24"/>
                <w:szCs w:val="24"/>
              </w:rPr>
              <w:t>图册，自主下单或</w:t>
            </w:r>
            <w:r w:rsidR="00C76F5D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 w:rsidR="00C76F5D">
              <w:rPr>
                <w:rFonts w:ascii="仿宋" w:eastAsia="仿宋" w:hAnsi="仿宋"/>
                <w:sz w:val="24"/>
                <w:szCs w:val="24"/>
              </w:rPr>
              <w:t>销售</w:t>
            </w:r>
            <w:r w:rsidR="00C76F5D">
              <w:rPr>
                <w:rFonts w:ascii="仿宋" w:eastAsia="仿宋" w:hAnsi="仿宋" w:hint="eastAsia"/>
                <w:sz w:val="24"/>
                <w:szCs w:val="24"/>
              </w:rPr>
              <w:t>/技术</w:t>
            </w:r>
            <w:r w:rsidR="00C76F5D">
              <w:rPr>
                <w:rFonts w:ascii="仿宋" w:eastAsia="仿宋" w:hAnsi="仿宋"/>
                <w:sz w:val="24"/>
                <w:szCs w:val="24"/>
              </w:rPr>
              <w:t>人员</w:t>
            </w:r>
            <w:r w:rsidR="00C76F5D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C76F5D">
              <w:rPr>
                <w:rFonts w:ascii="仿宋" w:eastAsia="仿宋" w:hAnsi="仿宋"/>
                <w:sz w:val="24"/>
                <w:szCs w:val="24"/>
              </w:rPr>
              <w:t>提升了响应速度</w:t>
            </w:r>
            <w:r w:rsidR="00C76F5D">
              <w:rPr>
                <w:rFonts w:ascii="仿宋" w:eastAsia="仿宋" w:hAnsi="仿宋" w:hint="eastAsia"/>
                <w:sz w:val="24"/>
                <w:szCs w:val="24"/>
              </w:rPr>
              <w:t>且更加便捷</w:t>
            </w:r>
            <w:r w:rsidR="00C76F5D"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14:paraId="365628BF" w14:textId="77777777" w:rsidR="00FF589D" w:rsidRPr="00EA1460" w:rsidRDefault="00FF589D" w:rsidP="00882A1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E1B08FA" w14:textId="07F320AD" w:rsidR="003B07FE" w:rsidRPr="003B07FE" w:rsidRDefault="00CE1970" w:rsidP="00D64425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5</w:t>
            </w:r>
            <w:r w:rsidR="003B07FE" w:rsidRPr="003B07F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882A14">
              <w:rPr>
                <w:rFonts w:ascii="仿宋" w:eastAsia="仿宋" w:hAnsi="仿宋" w:hint="eastAsia"/>
                <w:b/>
                <w:sz w:val="24"/>
                <w:szCs w:val="24"/>
              </w:rPr>
              <w:t>公司现有</w:t>
            </w:r>
            <w:r w:rsidR="00882A14">
              <w:rPr>
                <w:rFonts w:ascii="仿宋" w:eastAsia="仿宋" w:hAnsi="仿宋"/>
                <w:b/>
                <w:sz w:val="24"/>
                <w:szCs w:val="24"/>
              </w:rPr>
              <w:t>产能情况及未来规划</w:t>
            </w:r>
            <w:r w:rsidR="00E17AF5" w:rsidRPr="00E17AF5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14:paraId="039F8662" w14:textId="6BD4F33A" w:rsidR="003B07FE" w:rsidRDefault="00AB0862" w:rsidP="00D644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3D0CE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76F5D" w:rsidRPr="00C76F5D">
              <w:rPr>
                <w:rFonts w:ascii="仿宋" w:eastAsia="仿宋" w:hAnsi="仿宋" w:hint="eastAsia"/>
                <w:sz w:val="24"/>
                <w:szCs w:val="24"/>
              </w:rPr>
              <w:t>从公司</w:t>
            </w:r>
            <w:r w:rsidR="00C76F5D" w:rsidRPr="00C76F5D">
              <w:rPr>
                <w:rFonts w:ascii="仿宋" w:eastAsia="仿宋" w:hAnsi="仿宋"/>
                <w:sz w:val="24"/>
                <w:szCs w:val="24"/>
              </w:rPr>
              <w:t>2016年上市至今，公司的产能一直保持较为饱和的状态。现阶段正在进行的有两个增资扩产项目。位于东莞总部的塘厦</w:t>
            </w:r>
            <w:r w:rsidR="008B51F8">
              <w:rPr>
                <w:rFonts w:ascii="仿宋" w:eastAsia="仿宋" w:hAnsi="仿宋"/>
                <w:sz w:val="24"/>
                <w:szCs w:val="24"/>
              </w:rPr>
              <w:t>增资扩产项目和位于河南卫辉市的华北生产基地。塘厦增资扩产项目</w:t>
            </w:r>
            <w:r w:rsidR="00C76F5D" w:rsidRPr="00C76F5D">
              <w:rPr>
                <w:rFonts w:ascii="仿宋" w:eastAsia="仿宋" w:hAnsi="仿宋"/>
                <w:sz w:val="24"/>
                <w:szCs w:val="24"/>
              </w:rPr>
              <w:t>主要用于扩大现有的产品线</w:t>
            </w:r>
            <w:r w:rsidR="008B51F8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8B51F8">
              <w:rPr>
                <w:rFonts w:ascii="仿宋" w:eastAsia="仿宋" w:hAnsi="仿宋"/>
                <w:sz w:val="24"/>
                <w:szCs w:val="24"/>
              </w:rPr>
              <w:t>新增产品</w:t>
            </w:r>
            <w:r w:rsidR="00C76F5D" w:rsidRPr="00C76F5D">
              <w:rPr>
                <w:rFonts w:ascii="仿宋" w:eastAsia="仿宋" w:hAnsi="仿宋"/>
                <w:sz w:val="24"/>
                <w:szCs w:val="24"/>
              </w:rPr>
              <w:t>；华北生产</w:t>
            </w:r>
            <w:r w:rsidR="00B76AB0">
              <w:rPr>
                <w:rFonts w:ascii="仿宋" w:eastAsia="仿宋" w:hAnsi="仿宋" w:hint="eastAsia"/>
                <w:sz w:val="24"/>
                <w:szCs w:val="24"/>
              </w:rPr>
              <w:t>基地</w:t>
            </w:r>
            <w:r w:rsidR="00B76AB0" w:rsidRPr="00B76AB0"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  <w:r w:rsidR="00B76AB0">
              <w:rPr>
                <w:rFonts w:ascii="仿宋" w:eastAsia="仿宋" w:hAnsi="仿宋" w:hint="eastAsia"/>
                <w:sz w:val="24"/>
                <w:szCs w:val="24"/>
              </w:rPr>
              <w:t>用于建设</w:t>
            </w:r>
            <w:r w:rsidR="00B76AB0" w:rsidRPr="00B76AB0">
              <w:rPr>
                <w:rFonts w:ascii="仿宋" w:eastAsia="仿宋" w:hAnsi="仿宋" w:hint="eastAsia"/>
                <w:sz w:val="24"/>
                <w:szCs w:val="24"/>
              </w:rPr>
              <w:t>建筑五金及配套产品的生产线、华北仓储配送中心及相关设施。</w:t>
            </w:r>
            <w:r w:rsidR="00C76F5D" w:rsidRPr="00C76F5D">
              <w:rPr>
                <w:rFonts w:ascii="仿宋" w:eastAsia="仿宋" w:hAnsi="仿宋"/>
                <w:sz w:val="24"/>
                <w:szCs w:val="24"/>
              </w:rPr>
              <w:t>若三五年后公司业务仍处在高速发展</w:t>
            </w:r>
            <w:r w:rsidR="00C76F5D" w:rsidRPr="00C76F5D">
              <w:rPr>
                <w:rFonts w:ascii="仿宋" w:eastAsia="仿宋" w:hAnsi="仿宋"/>
                <w:sz w:val="24"/>
                <w:szCs w:val="24"/>
              </w:rPr>
              <w:lastRenderedPageBreak/>
              <w:t>状态，还需要另外考虑扩张计划，公司也在密切关注。</w:t>
            </w:r>
            <w:bookmarkStart w:id="0" w:name="_GoBack"/>
            <w:bookmarkEnd w:id="0"/>
          </w:p>
          <w:p w14:paraId="33A11125" w14:textId="77777777" w:rsidR="0008350E" w:rsidRDefault="0008350E" w:rsidP="00290DB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8659FBA" w14:textId="21C3FC5F" w:rsidR="004C7573" w:rsidRDefault="004C7573" w:rsidP="004C7573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6</w:t>
            </w:r>
            <w:r w:rsidRPr="003B07F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BE5800">
              <w:rPr>
                <w:rFonts w:ascii="仿宋" w:eastAsia="仿宋" w:hAnsi="仿宋" w:hint="eastAsia"/>
                <w:b/>
                <w:sz w:val="24"/>
                <w:szCs w:val="24"/>
              </w:rPr>
              <w:t>公司</w:t>
            </w:r>
            <w:r w:rsidR="00882A14">
              <w:rPr>
                <w:rFonts w:ascii="仿宋" w:eastAsia="仿宋" w:hAnsi="仿宋" w:hint="eastAsia"/>
                <w:b/>
                <w:sz w:val="24"/>
                <w:szCs w:val="24"/>
              </w:rPr>
              <w:t>直销和</w:t>
            </w:r>
            <w:r w:rsidR="00882A14">
              <w:rPr>
                <w:rFonts w:ascii="仿宋" w:eastAsia="仿宋" w:hAnsi="仿宋"/>
                <w:b/>
                <w:sz w:val="24"/>
                <w:szCs w:val="24"/>
              </w:rPr>
              <w:t>经销的占比情况</w:t>
            </w:r>
            <w:r w:rsidRPr="00E17AF5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  <w:r w:rsidR="00882A14">
              <w:rPr>
                <w:rFonts w:ascii="仿宋" w:eastAsia="仿宋" w:hAnsi="仿宋" w:hint="eastAsia"/>
                <w:b/>
                <w:sz w:val="24"/>
                <w:szCs w:val="24"/>
              </w:rPr>
              <w:t>未来</w:t>
            </w:r>
            <w:r w:rsidR="00882A14">
              <w:rPr>
                <w:rFonts w:ascii="仿宋" w:eastAsia="仿宋" w:hAnsi="仿宋"/>
                <w:b/>
                <w:sz w:val="24"/>
                <w:szCs w:val="24"/>
              </w:rPr>
              <w:t>是否改变？</w:t>
            </w:r>
          </w:p>
          <w:p w14:paraId="2B3E7104" w14:textId="2C578035" w:rsidR="004C7573" w:rsidRDefault="00007A98" w:rsidP="004C757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3D0CE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76F5D" w:rsidRPr="00C76F5D">
              <w:rPr>
                <w:rFonts w:ascii="仿宋" w:eastAsia="仿宋" w:hAnsi="仿宋" w:hint="eastAsia"/>
                <w:sz w:val="24"/>
                <w:szCs w:val="24"/>
              </w:rPr>
              <w:t>公司销售模式以直销为主，并结合网络销售平台的线上辅助销售。销售团队在市场开拓业务中，</w:t>
            </w:r>
            <w:r w:rsidR="00C76F5D">
              <w:rPr>
                <w:rFonts w:ascii="仿宋" w:eastAsia="仿宋" w:hAnsi="仿宋" w:hint="eastAsia"/>
                <w:sz w:val="24"/>
                <w:szCs w:val="24"/>
              </w:rPr>
              <w:t>能够</w:t>
            </w:r>
            <w:r w:rsidR="00C76F5D" w:rsidRPr="00C76F5D">
              <w:rPr>
                <w:rFonts w:ascii="仿宋" w:eastAsia="仿宋" w:hAnsi="仿宋" w:hint="eastAsia"/>
                <w:sz w:val="24"/>
                <w:szCs w:val="24"/>
              </w:rPr>
              <w:t>充分发挥团队协同平台优势，将销售人员与产品经理相结合，通过专业的技术支持、良好的营销服务能力，发挥信息化管理工具的优势，形成销售业务前端、订单处理、生产交付、售后服务等整个业务链条的大协同，解决不同类型客户在项目跟进过程中的需求。根据目前公司战略规划和竞争优势，还将继续采用直销的销售模式。</w:t>
            </w:r>
          </w:p>
          <w:p w14:paraId="3CD077E4" w14:textId="77777777" w:rsidR="00007A98" w:rsidRDefault="00007A98" w:rsidP="004C757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C988EB8" w14:textId="3D440193" w:rsidR="00882A14" w:rsidRDefault="00882A14" w:rsidP="004C7573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7</w:t>
            </w:r>
            <w:r w:rsidRPr="003B07F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公司</w:t>
            </w:r>
            <w:r w:rsidR="00155864">
              <w:rPr>
                <w:rFonts w:ascii="仿宋" w:eastAsia="仿宋" w:hAnsi="仿宋" w:hint="eastAsia"/>
                <w:b/>
                <w:sz w:val="24"/>
                <w:szCs w:val="24"/>
              </w:rPr>
              <w:t>对应收</w:t>
            </w:r>
            <w:r w:rsidR="00155864">
              <w:rPr>
                <w:rFonts w:ascii="仿宋" w:eastAsia="仿宋" w:hAnsi="仿宋"/>
                <w:b/>
                <w:sz w:val="24"/>
                <w:szCs w:val="24"/>
              </w:rPr>
              <w:t>账款</w:t>
            </w:r>
            <w:r w:rsidR="00155864">
              <w:rPr>
                <w:rFonts w:ascii="仿宋" w:eastAsia="仿宋" w:hAnsi="仿宋" w:hint="eastAsia"/>
                <w:b/>
                <w:sz w:val="24"/>
                <w:szCs w:val="24"/>
              </w:rPr>
              <w:t>的管理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？</w:t>
            </w:r>
          </w:p>
          <w:p w14:paraId="4482F7F3" w14:textId="5059552E" w:rsidR="00882A14" w:rsidRDefault="00882A14" w:rsidP="004C757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155864" w:rsidRPr="00155864">
              <w:rPr>
                <w:rFonts w:ascii="仿宋" w:eastAsia="仿宋" w:hAnsi="仿宋" w:hint="eastAsia"/>
                <w:sz w:val="24"/>
                <w:szCs w:val="24"/>
              </w:rPr>
              <w:t>公司对不同的客户群体，通过加强信用等级的评定，采取了差异化授信模式管理，积极提升授信使用效率。</w:t>
            </w:r>
            <w:r w:rsidR="00155864">
              <w:rPr>
                <w:rFonts w:ascii="仿宋" w:eastAsia="仿宋" w:hAnsi="仿宋" w:hint="eastAsia"/>
                <w:sz w:val="24"/>
                <w:szCs w:val="24"/>
              </w:rPr>
              <w:t>因</w:t>
            </w:r>
            <w:r w:rsidR="00155864" w:rsidRPr="00155864">
              <w:rPr>
                <w:rFonts w:ascii="仿宋" w:eastAsia="仿宋" w:hAnsi="仿宋" w:hint="eastAsia"/>
                <w:sz w:val="24"/>
                <w:szCs w:val="24"/>
              </w:rPr>
              <w:t>工程类订单回款周期较长，公司通过采取积极有效的管控措施，对应账款余额进行持续监控管理，以确保采取必要的措施回收过期债权以减少公司发生重大坏账风险。公司账龄在</w:t>
            </w:r>
            <w:r w:rsidR="00155864" w:rsidRPr="00155864">
              <w:rPr>
                <w:rFonts w:ascii="仿宋" w:eastAsia="仿宋" w:hAnsi="仿宋"/>
                <w:sz w:val="24"/>
                <w:szCs w:val="24"/>
              </w:rPr>
              <w:t>1年以内的应收账款占比约90%，应收余额较大的公司多为上市或大型客户，抗风险能力强，应收款账款质量良好。</w:t>
            </w:r>
          </w:p>
          <w:p w14:paraId="379F4C18" w14:textId="08F545C9" w:rsidR="00882A14" w:rsidRPr="00882A14" w:rsidRDefault="00882A14" w:rsidP="004C7573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64759" w:rsidRPr="00382882" w14:paraId="071547B7" w14:textId="77777777" w:rsidTr="00DF5899">
        <w:trPr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5B1122D0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50" w:type="dxa"/>
            <w:shd w:val="clear" w:color="auto" w:fill="auto"/>
          </w:tcPr>
          <w:p w14:paraId="3B715D4E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F64759" w:rsidRPr="00382882" w14:paraId="540E1474" w14:textId="77777777" w:rsidTr="00DF5899">
        <w:trPr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566CEACE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50" w:type="dxa"/>
            <w:shd w:val="clear" w:color="auto" w:fill="auto"/>
          </w:tcPr>
          <w:p w14:paraId="2B78CAF0" w14:textId="62689E29" w:rsidR="00F64759" w:rsidRPr="00382882" w:rsidRDefault="001C4999" w:rsidP="0094735B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2020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年</w:t>
            </w:r>
            <w:r w:rsidR="00CC629A">
              <w:rPr>
                <w:rFonts w:ascii="仿宋" w:eastAsia="仿宋" w:hAnsi="仿宋"/>
                <w:bCs/>
                <w:iCs/>
                <w:sz w:val="24"/>
                <w:szCs w:val="24"/>
              </w:rPr>
              <w:t>7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月</w:t>
            </w:r>
            <w:r w:rsidR="00882A14">
              <w:rPr>
                <w:rFonts w:ascii="仿宋" w:eastAsia="仿宋" w:hAnsi="仿宋"/>
                <w:bCs/>
                <w:iCs/>
                <w:sz w:val="24"/>
                <w:szCs w:val="24"/>
              </w:rPr>
              <w:t>16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日</w:t>
            </w:r>
          </w:p>
        </w:tc>
      </w:tr>
    </w:tbl>
    <w:p w14:paraId="3B3399FB" w14:textId="77777777" w:rsidR="00F64759" w:rsidRPr="00F64759" w:rsidRDefault="00F64759" w:rsidP="00007A98">
      <w:pPr>
        <w:rPr>
          <w:rFonts w:ascii="黑体" w:eastAsia="黑体" w:hAnsi="黑体"/>
          <w:sz w:val="30"/>
          <w:szCs w:val="30"/>
        </w:rPr>
      </w:pPr>
    </w:p>
    <w:sectPr w:rsidR="00F64759" w:rsidRPr="00F64759" w:rsidSect="006241C5">
      <w:pgSz w:w="11906" w:h="16838" w:code="9"/>
      <w:pgMar w:top="1559" w:right="1559" w:bottom="1559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1C90E" w14:textId="77777777" w:rsidR="00705688" w:rsidRDefault="00705688" w:rsidP="00513B2E">
      <w:r>
        <w:separator/>
      </w:r>
    </w:p>
  </w:endnote>
  <w:endnote w:type="continuationSeparator" w:id="0">
    <w:p w14:paraId="46EA2136" w14:textId="77777777" w:rsidR="00705688" w:rsidRDefault="00705688" w:rsidP="0051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EE19E" w14:textId="77777777" w:rsidR="00705688" w:rsidRDefault="00705688" w:rsidP="00513B2E">
      <w:r>
        <w:separator/>
      </w:r>
    </w:p>
  </w:footnote>
  <w:footnote w:type="continuationSeparator" w:id="0">
    <w:p w14:paraId="4B7CCB0D" w14:textId="77777777" w:rsidR="00705688" w:rsidRDefault="00705688" w:rsidP="0051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04"/>
    <w:rsid w:val="00001287"/>
    <w:rsid w:val="00007022"/>
    <w:rsid w:val="00007A98"/>
    <w:rsid w:val="000225EF"/>
    <w:rsid w:val="0002382F"/>
    <w:rsid w:val="00026658"/>
    <w:rsid w:val="00032D62"/>
    <w:rsid w:val="00034E5E"/>
    <w:rsid w:val="0004402A"/>
    <w:rsid w:val="00044405"/>
    <w:rsid w:val="000451F2"/>
    <w:rsid w:val="0007238E"/>
    <w:rsid w:val="000809D5"/>
    <w:rsid w:val="00081FF1"/>
    <w:rsid w:val="0008350E"/>
    <w:rsid w:val="000856C5"/>
    <w:rsid w:val="00095CF7"/>
    <w:rsid w:val="00096838"/>
    <w:rsid w:val="000A06E0"/>
    <w:rsid w:val="000A5E46"/>
    <w:rsid w:val="000A6123"/>
    <w:rsid w:val="000B7AC2"/>
    <w:rsid w:val="000B7E77"/>
    <w:rsid w:val="000C2E6E"/>
    <w:rsid w:val="000C5915"/>
    <w:rsid w:val="000C5D90"/>
    <w:rsid w:val="000D14E3"/>
    <w:rsid w:val="000F2FC1"/>
    <w:rsid w:val="000F4DBD"/>
    <w:rsid w:val="00107122"/>
    <w:rsid w:val="001071D7"/>
    <w:rsid w:val="00110F86"/>
    <w:rsid w:val="00131CF2"/>
    <w:rsid w:val="00137E31"/>
    <w:rsid w:val="001428FF"/>
    <w:rsid w:val="00150AF0"/>
    <w:rsid w:val="00155353"/>
    <w:rsid w:val="00155864"/>
    <w:rsid w:val="0015605A"/>
    <w:rsid w:val="001604D3"/>
    <w:rsid w:val="001618B3"/>
    <w:rsid w:val="00174D86"/>
    <w:rsid w:val="001752B7"/>
    <w:rsid w:val="001873B1"/>
    <w:rsid w:val="00187FB1"/>
    <w:rsid w:val="00190536"/>
    <w:rsid w:val="00191FE7"/>
    <w:rsid w:val="00196C22"/>
    <w:rsid w:val="001B273E"/>
    <w:rsid w:val="001B7357"/>
    <w:rsid w:val="001B7502"/>
    <w:rsid w:val="001B7804"/>
    <w:rsid w:val="001C4999"/>
    <w:rsid w:val="001D2A8E"/>
    <w:rsid w:val="001D4C85"/>
    <w:rsid w:val="001D5A5F"/>
    <w:rsid w:val="001D60A7"/>
    <w:rsid w:val="001D7C5E"/>
    <w:rsid w:val="001E0382"/>
    <w:rsid w:val="001E2CC5"/>
    <w:rsid w:val="001E2D2D"/>
    <w:rsid w:val="001E5340"/>
    <w:rsid w:val="001E7C5B"/>
    <w:rsid w:val="0020405B"/>
    <w:rsid w:val="00213EA1"/>
    <w:rsid w:val="00215154"/>
    <w:rsid w:val="002248C7"/>
    <w:rsid w:val="00226772"/>
    <w:rsid w:val="00231F6C"/>
    <w:rsid w:val="002369B1"/>
    <w:rsid w:val="00237575"/>
    <w:rsid w:val="00242774"/>
    <w:rsid w:val="00245DF2"/>
    <w:rsid w:val="0025444C"/>
    <w:rsid w:val="00261D3C"/>
    <w:rsid w:val="00273495"/>
    <w:rsid w:val="00276E0E"/>
    <w:rsid w:val="00277DB6"/>
    <w:rsid w:val="00281176"/>
    <w:rsid w:val="00290DBA"/>
    <w:rsid w:val="00291597"/>
    <w:rsid w:val="00291893"/>
    <w:rsid w:val="00291CD5"/>
    <w:rsid w:val="00296CD2"/>
    <w:rsid w:val="002A4869"/>
    <w:rsid w:val="002C1BF8"/>
    <w:rsid w:val="002C6604"/>
    <w:rsid w:val="002D7347"/>
    <w:rsid w:val="002E170F"/>
    <w:rsid w:val="002E3E31"/>
    <w:rsid w:val="002E4480"/>
    <w:rsid w:val="002F03B9"/>
    <w:rsid w:val="002F15CE"/>
    <w:rsid w:val="002F2C3B"/>
    <w:rsid w:val="00313607"/>
    <w:rsid w:val="00321E2C"/>
    <w:rsid w:val="00324109"/>
    <w:rsid w:val="003334E6"/>
    <w:rsid w:val="00336C03"/>
    <w:rsid w:val="00337381"/>
    <w:rsid w:val="003405F8"/>
    <w:rsid w:val="00344611"/>
    <w:rsid w:val="0035260D"/>
    <w:rsid w:val="00352E91"/>
    <w:rsid w:val="00352F21"/>
    <w:rsid w:val="00356B37"/>
    <w:rsid w:val="00360F2D"/>
    <w:rsid w:val="00363490"/>
    <w:rsid w:val="00363F03"/>
    <w:rsid w:val="0036438F"/>
    <w:rsid w:val="00364904"/>
    <w:rsid w:val="0037287E"/>
    <w:rsid w:val="00373A2A"/>
    <w:rsid w:val="00382882"/>
    <w:rsid w:val="00391266"/>
    <w:rsid w:val="003A54D3"/>
    <w:rsid w:val="003A7149"/>
    <w:rsid w:val="003B07FE"/>
    <w:rsid w:val="003B3458"/>
    <w:rsid w:val="003C6356"/>
    <w:rsid w:val="003D0CED"/>
    <w:rsid w:val="003D20CC"/>
    <w:rsid w:val="003D41D0"/>
    <w:rsid w:val="003E0A44"/>
    <w:rsid w:val="003F107B"/>
    <w:rsid w:val="003F3553"/>
    <w:rsid w:val="003F402C"/>
    <w:rsid w:val="00401267"/>
    <w:rsid w:val="004031EC"/>
    <w:rsid w:val="00451D24"/>
    <w:rsid w:val="00460B37"/>
    <w:rsid w:val="00460EBE"/>
    <w:rsid w:val="00461E32"/>
    <w:rsid w:val="004670B6"/>
    <w:rsid w:val="004716D9"/>
    <w:rsid w:val="00471C80"/>
    <w:rsid w:val="00481B72"/>
    <w:rsid w:val="00481BA1"/>
    <w:rsid w:val="004A280E"/>
    <w:rsid w:val="004A76AF"/>
    <w:rsid w:val="004B196D"/>
    <w:rsid w:val="004B444D"/>
    <w:rsid w:val="004B6A17"/>
    <w:rsid w:val="004C37FD"/>
    <w:rsid w:val="004C7573"/>
    <w:rsid w:val="004D2FEA"/>
    <w:rsid w:val="004D7144"/>
    <w:rsid w:val="004E5801"/>
    <w:rsid w:val="004F1C6F"/>
    <w:rsid w:val="004F3FBF"/>
    <w:rsid w:val="00505F8D"/>
    <w:rsid w:val="0050790F"/>
    <w:rsid w:val="005103A6"/>
    <w:rsid w:val="00511074"/>
    <w:rsid w:val="00513B2E"/>
    <w:rsid w:val="00517E5E"/>
    <w:rsid w:val="005365CD"/>
    <w:rsid w:val="00541ADC"/>
    <w:rsid w:val="00543F3C"/>
    <w:rsid w:val="005470E8"/>
    <w:rsid w:val="0055572F"/>
    <w:rsid w:val="005666A4"/>
    <w:rsid w:val="00580816"/>
    <w:rsid w:val="0058327E"/>
    <w:rsid w:val="005914BF"/>
    <w:rsid w:val="0059248A"/>
    <w:rsid w:val="0059348A"/>
    <w:rsid w:val="005B1BBD"/>
    <w:rsid w:val="005C0D8F"/>
    <w:rsid w:val="005C28C9"/>
    <w:rsid w:val="005E7F60"/>
    <w:rsid w:val="005F420C"/>
    <w:rsid w:val="005F6CC4"/>
    <w:rsid w:val="006110E2"/>
    <w:rsid w:val="0062191B"/>
    <w:rsid w:val="006241C5"/>
    <w:rsid w:val="00635996"/>
    <w:rsid w:val="00635C99"/>
    <w:rsid w:val="00640233"/>
    <w:rsid w:val="00641BBE"/>
    <w:rsid w:val="00657B7C"/>
    <w:rsid w:val="00661394"/>
    <w:rsid w:val="006633B2"/>
    <w:rsid w:val="00667B79"/>
    <w:rsid w:val="00672772"/>
    <w:rsid w:val="00672E1F"/>
    <w:rsid w:val="00673F65"/>
    <w:rsid w:val="00674EA4"/>
    <w:rsid w:val="00682E15"/>
    <w:rsid w:val="00685CE7"/>
    <w:rsid w:val="00694966"/>
    <w:rsid w:val="00694E7D"/>
    <w:rsid w:val="00696908"/>
    <w:rsid w:val="006A4B3E"/>
    <w:rsid w:val="006B3892"/>
    <w:rsid w:val="006B75A4"/>
    <w:rsid w:val="006D17AF"/>
    <w:rsid w:val="006D2961"/>
    <w:rsid w:val="006D4FD5"/>
    <w:rsid w:val="006E21C8"/>
    <w:rsid w:val="006F09B0"/>
    <w:rsid w:val="006F2702"/>
    <w:rsid w:val="006F7540"/>
    <w:rsid w:val="006F7DD6"/>
    <w:rsid w:val="00705688"/>
    <w:rsid w:val="00707ABB"/>
    <w:rsid w:val="007110FB"/>
    <w:rsid w:val="007135F7"/>
    <w:rsid w:val="00715226"/>
    <w:rsid w:val="007271F8"/>
    <w:rsid w:val="00734C03"/>
    <w:rsid w:val="007421C4"/>
    <w:rsid w:val="00744105"/>
    <w:rsid w:val="00747878"/>
    <w:rsid w:val="00756B8E"/>
    <w:rsid w:val="007647B8"/>
    <w:rsid w:val="007721D0"/>
    <w:rsid w:val="00773C71"/>
    <w:rsid w:val="0077436B"/>
    <w:rsid w:val="00780675"/>
    <w:rsid w:val="00793605"/>
    <w:rsid w:val="007A33F6"/>
    <w:rsid w:val="007B3130"/>
    <w:rsid w:val="007C3940"/>
    <w:rsid w:val="007C5379"/>
    <w:rsid w:val="007D2709"/>
    <w:rsid w:val="007E2C26"/>
    <w:rsid w:val="007F1C5F"/>
    <w:rsid w:val="007F274D"/>
    <w:rsid w:val="007F39BF"/>
    <w:rsid w:val="007F7511"/>
    <w:rsid w:val="008209A2"/>
    <w:rsid w:val="00833A4A"/>
    <w:rsid w:val="00840DD9"/>
    <w:rsid w:val="0084405D"/>
    <w:rsid w:val="008453C1"/>
    <w:rsid w:val="0085074B"/>
    <w:rsid w:val="00860CD1"/>
    <w:rsid w:val="00866FE8"/>
    <w:rsid w:val="008712A1"/>
    <w:rsid w:val="00871815"/>
    <w:rsid w:val="00872498"/>
    <w:rsid w:val="00882A14"/>
    <w:rsid w:val="00883B02"/>
    <w:rsid w:val="00895091"/>
    <w:rsid w:val="008A46B4"/>
    <w:rsid w:val="008B3566"/>
    <w:rsid w:val="008B38CC"/>
    <w:rsid w:val="008B51F8"/>
    <w:rsid w:val="008B5B3B"/>
    <w:rsid w:val="008C0FD9"/>
    <w:rsid w:val="008E2874"/>
    <w:rsid w:val="008E2BE7"/>
    <w:rsid w:val="008E36DB"/>
    <w:rsid w:val="00905E12"/>
    <w:rsid w:val="00906CF7"/>
    <w:rsid w:val="009078DD"/>
    <w:rsid w:val="0091111E"/>
    <w:rsid w:val="00916006"/>
    <w:rsid w:val="009213C2"/>
    <w:rsid w:val="00925EA4"/>
    <w:rsid w:val="009327CB"/>
    <w:rsid w:val="009361E9"/>
    <w:rsid w:val="009402BE"/>
    <w:rsid w:val="00943B37"/>
    <w:rsid w:val="00944876"/>
    <w:rsid w:val="00946AD8"/>
    <w:rsid w:val="0094735B"/>
    <w:rsid w:val="00950856"/>
    <w:rsid w:val="00952343"/>
    <w:rsid w:val="009526BE"/>
    <w:rsid w:val="00953EA9"/>
    <w:rsid w:val="00963861"/>
    <w:rsid w:val="0096407F"/>
    <w:rsid w:val="009744ED"/>
    <w:rsid w:val="00975854"/>
    <w:rsid w:val="00980F0D"/>
    <w:rsid w:val="00985EC5"/>
    <w:rsid w:val="009870E7"/>
    <w:rsid w:val="00991BE3"/>
    <w:rsid w:val="009A06C4"/>
    <w:rsid w:val="009A2758"/>
    <w:rsid w:val="009B1638"/>
    <w:rsid w:val="009B1B65"/>
    <w:rsid w:val="009D51CF"/>
    <w:rsid w:val="009E6371"/>
    <w:rsid w:val="009E72A9"/>
    <w:rsid w:val="009E742C"/>
    <w:rsid w:val="009F32F4"/>
    <w:rsid w:val="009F39D7"/>
    <w:rsid w:val="00A0664E"/>
    <w:rsid w:val="00A06AE7"/>
    <w:rsid w:val="00A078ED"/>
    <w:rsid w:val="00A12BA3"/>
    <w:rsid w:val="00A16180"/>
    <w:rsid w:val="00A1695C"/>
    <w:rsid w:val="00A21787"/>
    <w:rsid w:val="00A2435C"/>
    <w:rsid w:val="00A3263C"/>
    <w:rsid w:val="00A347F6"/>
    <w:rsid w:val="00A44F6F"/>
    <w:rsid w:val="00A54049"/>
    <w:rsid w:val="00A551C0"/>
    <w:rsid w:val="00A5756C"/>
    <w:rsid w:val="00A67544"/>
    <w:rsid w:val="00A71197"/>
    <w:rsid w:val="00A726E7"/>
    <w:rsid w:val="00A737CD"/>
    <w:rsid w:val="00A84273"/>
    <w:rsid w:val="00A90B2C"/>
    <w:rsid w:val="00A9260E"/>
    <w:rsid w:val="00A97FEA"/>
    <w:rsid w:val="00AB0862"/>
    <w:rsid w:val="00AB3BB3"/>
    <w:rsid w:val="00AC4436"/>
    <w:rsid w:val="00AD0844"/>
    <w:rsid w:val="00AE2E0A"/>
    <w:rsid w:val="00AF18FE"/>
    <w:rsid w:val="00AF4466"/>
    <w:rsid w:val="00AF4B5A"/>
    <w:rsid w:val="00AF7D41"/>
    <w:rsid w:val="00B06FD2"/>
    <w:rsid w:val="00B2563D"/>
    <w:rsid w:val="00B26756"/>
    <w:rsid w:val="00B267F4"/>
    <w:rsid w:val="00B3076F"/>
    <w:rsid w:val="00B350E4"/>
    <w:rsid w:val="00B40EDD"/>
    <w:rsid w:val="00B43399"/>
    <w:rsid w:val="00B569DA"/>
    <w:rsid w:val="00B5747A"/>
    <w:rsid w:val="00B60BAF"/>
    <w:rsid w:val="00B65566"/>
    <w:rsid w:val="00B67885"/>
    <w:rsid w:val="00B70CBD"/>
    <w:rsid w:val="00B7199B"/>
    <w:rsid w:val="00B76AB0"/>
    <w:rsid w:val="00B93357"/>
    <w:rsid w:val="00B95130"/>
    <w:rsid w:val="00B9677F"/>
    <w:rsid w:val="00BA1BA1"/>
    <w:rsid w:val="00BB1684"/>
    <w:rsid w:val="00BB1971"/>
    <w:rsid w:val="00BB5692"/>
    <w:rsid w:val="00BB5FD9"/>
    <w:rsid w:val="00BC6DA3"/>
    <w:rsid w:val="00BC7902"/>
    <w:rsid w:val="00BD0978"/>
    <w:rsid w:val="00BD0A5E"/>
    <w:rsid w:val="00BD2C92"/>
    <w:rsid w:val="00BD479F"/>
    <w:rsid w:val="00BE0B48"/>
    <w:rsid w:val="00BE5800"/>
    <w:rsid w:val="00BE5D1E"/>
    <w:rsid w:val="00BF2379"/>
    <w:rsid w:val="00BF27AF"/>
    <w:rsid w:val="00BF3684"/>
    <w:rsid w:val="00BF62A5"/>
    <w:rsid w:val="00C04946"/>
    <w:rsid w:val="00C06140"/>
    <w:rsid w:val="00C07E0D"/>
    <w:rsid w:val="00C10ED9"/>
    <w:rsid w:val="00C1271F"/>
    <w:rsid w:val="00C30BEA"/>
    <w:rsid w:val="00C30DF2"/>
    <w:rsid w:val="00C36A32"/>
    <w:rsid w:val="00C540A3"/>
    <w:rsid w:val="00C61BE8"/>
    <w:rsid w:val="00C6318B"/>
    <w:rsid w:val="00C6771C"/>
    <w:rsid w:val="00C713E9"/>
    <w:rsid w:val="00C72DBE"/>
    <w:rsid w:val="00C73C85"/>
    <w:rsid w:val="00C76F5D"/>
    <w:rsid w:val="00C8034D"/>
    <w:rsid w:val="00C977DC"/>
    <w:rsid w:val="00CA14FB"/>
    <w:rsid w:val="00CA41F3"/>
    <w:rsid w:val="00CA520E"/>
    <w:rsid w:val="00CA6F17"/>
    <w:rsid w:val="00CB54DE"/>
    <w:rsid w:val="00CC629A"/>
    <w:rsid w:val="00CD6939"/>
    <w:rsid w:val="00CE1970"/>
    <w:rsid w:val="00CE4C6C"/>
    <w:rsid w:val="00D0778B"/>
    <w:rsid w:val="00D13979"/>
    <w:rsid w:val="00D15CAE"/>
    <w:rsid w:val="00D17560"/>
    <w:rsid w:val="00D20B9A"/>
    <w:rsid w:val="00D323B4"/>
    <w:rsid w:val="00D3438E"/>
    <w:rsid w:val="00D35ED0"/>
    <w:rsid w:val="00D36729"/>
    <w:rsid w:val="00D37F72"/>
    <w:rsid w:val="00D41C8C"/>
    <w:rsid w:val="00D43E6B"/>
    <w:rsid w:val="00D459A4"/>
    <w:rsid w:val="00D53B86"/>
    <w:rsid w:val="00D53E31"/>
    <w:rsid w:val="00D53FCA"/>
    <w:rsid w:val="00D5426B"/>
    <w:rsid w:val="00D61116"/>
    <w:rsid w:val="00D64227"/>
    <w:rsid w:val="00D64425"/>
    <w:rsid w:val="00D6456D"/>
    <w:rsid w:val="00D64DDF"/>
    <w:rsid w:val="00D7258D"/>
    <w:rsid w:val="00D72AFD"/>
    <w:rsid w:val="00D74353"/>
    <w:rsid w:val="00D84119"/>
    <w:rsid w:val="00D86EC5"/>
    <w:rsid w:val="00D9625B"/>
    <w:rsid w:val="00DA0B24"/>
    <w:rsid w:val="00DA30E0"/>
    <w:rsid w:val="00DA3E5D"/>
    <w:rsid w:val="00DB5ADC"/>
    <w:rsid w:val="00DD4F8B"/>
    <w:rsid w:val="00DD5E69"/>
    <w:rsid w:val="00DD6ADC"/>
    <w:rsid w:val="00DD6EF9"/>
    <w:rsid w:val="00DE294F"/>
    <w:rsid w:val="00DE358C"/>
    <w:rsid w:val="00DE6267"/>
    <w:rsid w:val="00DF3486"/>
    <w:rsid w:val="00DF7D7E"/>
    <w:rsid w:val="00E037AE"/>
    <w:rsid w:val="00E158F5"/>
    <w:rsid w:val="00E17AF5"/>
    <w:rsid w:val="00E2048E"/>
    <w:rsid w:val="00E44446"/>
    <w:rsid w:val="00E445D2"/>
    <w:rsid w:val="00E479B0"/>
    <w:rsid w:val="00E631D6"/>
    <w:rsid w:val="00E67AFC"/>
    <w:rsid w:val="00E70361"/>
    <w:rsid w:val="00E81FC2"/>
    <w:rsid w:val="00E922F5"/>
    <w:rsid w:val="00E92FD8"/>
    <w:rsid w:val="00EA1460"/>
    <w:rsid w:val="00EA78D0"/>
    <w:rsid w:val="00EB0597"/>
    <w:rsid w:val="00EC383C"/>
    <w:rsid w:val="00ED415B"/>
    <w:rsid w:val="00ED686C"/>
    <w:rsid w:val="00EE0577"/>
    <w:rsid w:val="00EE0EF2"/>
    <w:rsid w:val="00EE2625"/>
    <w:rsid w:val="00EE667B"/>
    <w:rsid w:val="00EE68C5"/>
    <w:rsid w:val="00EF0F28"/>
    <w:rsid w:val="00EF12C3"/>
    <w:rsid w:val="00EF344A"/>
    <w:rsid w:val="00F0047E"/>
    <w:rsid w:val="00F02ECD"/>
    <w:rsid w:val="00F11059"/>
    <w:rsid w:val="00F121D4"/>
    <w:rsid w:val="00F130A0"/>
    <w:rsid w:val="00F1480E"/>
    <w:rsid w:val="00F21B7F"/>
    <w:rsid w:val="00F260E3"/>
    <w:rsid w:val="00F35FE4"/>
    <w:rsid w:val="00F42AE1"/>
    <w:rsid w:val="00F472C7"/>
    <w:rsid w:val="00F52B13"/>
    <w:rsid w:val="00F537BD"/>
    <w:rsid w:val="00F57EC0"/>
    <w:rsid w:val="00F64759"/>
    <w:rsid w:val="00F6483A"/>
    <w:rsid w:val="00F855FE"/>
    <w:rsid w:val="00F902CD"/>
    <w:rsid w:val="00F9610B"/>
    <w:rsid w:val="00F9783E"/>
    <w:rsid w:val="00FA1B16"/>
    <w:rsid w:val="00FA57F8"/>
    <w:rsid w:val="00FA6220"/>
    <w:rsid w:val="00FB1B41"/>
    <w:rsid w:val="00FC483F"/>
    <w:rsid w:val="00FC4DD7"/>
    <w:rsid w:val="00FC55CF"/>
    <w:rsid w:val="00FD33A7"/>
    <w:rsid w:val="00FD4588"/>
    <w:rsid w:val="00FE1274"/>
    <w:rsid w:val="00FE31CB"/>
    <w:rsid w:val="00FF4C4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618E1"/>
  <w15:docId w15:val="{5EACB2A9-9C3B-48E2-A925-345976F7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759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513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3B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3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3B2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21B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1B7F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67F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267F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267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67F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267F4"/>
    <w:rPr>
      <w:b/>
      <w:bCs/>
    </w:rPr>
  </w:style>
  <w:style w:type="paragraph" w:styleId="af">
    <w:name w:val="Normal (Web)"/>
    <w:basedOn w:val="a"/>
    <w:uiPriority w:val="99"/>
    <w:semiHidden/>
    <w:unhideWhenUsed/>
    <w:rsid w:val="00BA1B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3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zxiaowen</dc:creator>
  <cp:lastModifiedBy>zxiaowen</cp:lastModifiedBy>
  <cp:revision>48</cp:revision>
  <dcterms:created xsi:type="dcterms:W3CDTF">2020-03-12T09:18:00Z</dcterms:created>
  <dcterms:modified xsi:type="dcterms:W3CDTF">2020-07-17T10:22:00Z</dcterms:modified>
</cp:coreProperties>
</file>