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</w:p>
    <w:p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</w:t>
      </w:r>
      <w:r>
        <w:rPr>
          <w:bCs/>
          <w:iCs/>
          <w:color w:val="000000"/>
          <w:sz w:val="24"/>
        </w:rPr>
        <w:t xml:space="preserve">：002497  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证券简称：雅化集团</w:t>
      </w:r>
    </w:p>
    <w:p>
      <w:pPr>
        <w:spacing w:before="156" w:beforeLines="50" w:after="156" w:afterLines="50" w:line="400" w:lineRule="exact"/>
        <w:ind w:firstLine="540" w:firstLineChars="300"/>
        <w:rPr>
          <w:rFonts w:ascii="宋体" w:hAnsi="宋体"/>
          <w:bCs/>
          <w:iCs/>
          <w:color w:val="000000"/>
          <w:sz w:val="18"/>
          <w:szCs w:val="18"/>
        </w:rPr>
      </w:pPr>
    </w:p>
    <w:p>
      <w:pPr>
        <w:spacing w:before="156" w:beforeLines="50" w:after="156" w:afterLines="50" w:line="400" w:lineRule="exact"/>
        <w:ind w:left="-178" w:leftChars="-85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四川雅化实业集团股份有限公司投资者关系活动记录表</w:t>
      </w:r>
    </w:p>
    <w:p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  编号：</w:t>
      </w:r>
      <w:r>
        <w:rPr>
          <w:rFonts w:hint="eastAsia"/>
          <w:bCs/>
          <w:iCs/>
          <w:color w:val="000000"/>
          <w:sz w:val="24"/>
        </w:rPr>
        <w:t>20200716</w:t>
      </w:r>
    </w:p>
    <w:tbl>
      <w:tblPr>
        <w:tblStyle w:val="5"/>
        <w:tblW w:w="1027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√</w:t>
            </w:r>
            <w:r>
              <w:rPr>
                <w:rFonts w:hint="eastAsia"/>
                <w:color w:val="000000"/>
                <w:sz w:val="24"/>
              </w:rPr>
              <w:t>特定对象调研        □分析师会议</w:t>
            </w:r>
          </w:p>
          <w:p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□媒体采访            □业绩说明会</w:t>
            </w:r>
          </w:p>
          <w:p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□新闻发布会          □路演活动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□现场参观</w:t>
            </w:r>
            <w:r>
              <w:rPr>
                <w:rFonts w:hint="eastAsia"/>
                <w:color w:val="00000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□其他 （请文字说明其他活动内容）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13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中信证券</w:t>
            </w:r>
            <w:r>
              <w:rPr>
                <w:rFonts w:hint="eastAsia"/>
                <w:color w:val="000000"/>
                <w:sz w:val="24"/>
              </w:rPr>
              <w:t>：拜俊飞、李博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四川雅化实业集团股份有限公司23楼会议室（四川省成都市高新区天府四街</w:t>
            </w:r>
            <w:r>
              <w:rPr>
                <w:color w:val="000000"/>
                <w:sz w:val="24"/>
              </w:rPr>
              <w:t>66</w:t>
            </w:r>
            <w:r>
              <w:rPr>
                <w:rFonts w:hint="eastAsia"/>
                <w:color w:val="000000"/>
                <w:sz w:val="24"/>
              </w:rPr>
              <w:t>号航兴国际广场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left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董事会秘书：翟雄鹰</w:t>
            </w:r>
          </w:p>
          <w:p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证券事务代表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郑璐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ind w:firstLine="115" w:firstLineChars="48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投资者</w:t>
            </w:r>
          </w:p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关系活动主要内容介绍</w:t>
            </w:r>
          </w:p>
        </w:tc>
        <w:tc>
          <w:tcPr>
            <w:tcW w:w="9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482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一、公司锂盐产能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公司目前锂盐产能近4万吨，主要以氢氧化锂产能为主，同时配有碳酸锂生产产能</w:t>
            </w:r>
            <w:r>
              <w:rPr>
                <w:rFonts w:hint="default"/>
                <w:color w:val="000000"/>
                <w:kern w:val="0"/>
                <w:sz w:val="24"/>
              </w:rPr>
              <w:t>，正在筹划和准备</w:t>
            </w:r>
            <w:r>
              <w:rPr>
                <w:rFonts w:hint="eastAsia"/>
                <w:color w:val="000000"/>
                <w:kern w:val="0"/>
                <w:sz w:val="24"/>
              </w:rPr>
              <w:t>建设2万吨电池级氢氧化锂及1.1万吨氯化锂及其制品项目。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二、公司锂资源储备情况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公司通过多种渠道进行锂资源储备，目前主要有：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、与银河锂业续签锂精矿承购协议，协议执行期延长至2025年。银河锂业每年根据我们的生产需要提供锂精矿供应，将为公司未来锂盐产品生产提供长期、稳定、优质的原料保障，未来公司还将在盐湖锂资源方面与银河锂业开展广泛合作。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、李家沟锂辉石矿优先供应权。公司参股的能投锂业拥有李家沟锂辉石矿采矿权，根据协议约定，能投锂业（含德鑫矿业）日后开采、加工的锂精矿将优先满足国理公司生产。李家沟锂辉石矿年产105万吨采选项目，目前正按计划建设中。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3、参股澳洲Core公司并签订锂矿承购协议。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除此之外，公司将继续寻求与其他锂矿、盐湖的合作，积极扩大上游锂资源的储备，建立丰富稳定的锂资源供应保障体系。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三、公司锂产业发展情况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司于2013年通过参股国理公司进军锂产业，目前拥有国理公司、兴晟锂业、雅安锂业和锂业科技四家锂产业公司。公司专注于氢氧化锂的研发、生产和销售，生产工艺水平和装备技术水平处于行业前列。公司在多年的生产管控过程中积淀了大量的工艺诀窍和技术诀窍，确保了产品质量持续稳定，与国内外众多优质客户建立了良好的合作关系。</w:t>
            </w:r>
          </w:p>
          <w:p>
            <w:pPr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pStyle w:val="10"/>
              <w:adjustRightInd/>
              <w:ind w:firstLine="480"/>
              <w:jc w:val="both"/>
              <w:rPr>
                <w:rFonts w:asci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四、民爆业务发展情况？未来的增长点在哪儿？</w:t>
            </w:r>
          </w:p>
          <w:p>
            <w:pPr>
              <w:ind w:firstLine="480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答：公司民爆业务未来的增量主要在爆破领域，公司拥有丰富的工程爆破经验以及行业领先的工程爆破技术，</w:t>
            </w:r>
            <w:r>
              <w:rPr>
                <w:color w:val="000000"/>
                <w:kern w:val="0"/>
                <w:sz w:val="24"/>
              </w:rPr>
              <w:t>近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来</w:t>
            </w:r>
            <w:r>
              <w:rPr>
                <w:rFonts w:hint="eastAsia"/>
                <w:color w:val="000000"/>
                <w:kern w:val="0"/>
                <w:sz w:val="24"/>
              </w:rPr>
              <w:t>公司爆破业务</w:t>
            </w:r>
            <w:r>
              <w:rPr>
                <w:color w:val="000000"/>
                <w:kern w:val="0"/>
                <w:sz w:val="24"/>
              </w:rPr>
              <w:t>均呈较快增长态势，</w:t>
            </w:r>
            <w:r>
              <w:rPr>
                <w:rFonts w:hint="eastAsia"/>
                <w:color w:val="000000"/>
                <w:kern w:val="0"/>
                <w:sz w:val="24"/>
              </w:rPr>
              <w:t>在国家加大铁路、公路以及水利水电等基础设施投资力度的大环境下，公司爆破业务的持续增长将会得到</w:t>
            </w:r>
            <w:r>
              <w:rPr>
                <w:color w:val="000000"/>
                <w:kern w:val="0"/>
                <w:sz w:val="24"/>
              </w:rPr>
              <w:t>有力</w:t>
            </w:r>
            <w:r>
              <w:rPr>
                <w:rFonts w:hint="eastAsia"/>
                <w:color w:val="000000"/>
                <w:kern w:val="0"/>
                <w:sz w:val="24"/>
              </w:rPr>
              <w:t>保障。</w:t>
            </w:r>
          </w:p>
          <w:p>
            <w:pPr>
              <w:ind w:firstLine="480" w:firstLineChars="20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公司民爆生产基地大多布局于西部大开发的核心地带，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《指导意见》中关于强化基础设施规划建设的举措，特别是加快川藏铁路、沿江高铁、渝昆高铁等重大铁路工程规划建设项目中，</w:t>
            </w:r>
            <w:r>
              <w:rPr>
                <w:rFonts w:hint="eastAsia"/>
                <w:color w:val="000000"/>
                <w:kern w:val="0"/>
                <w:sz w:val="24"/>
              </w:rPr>
              <w:t>公司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也将会争取</w:t>
            </w:r>
            <w:r>
              <w:rPr>
                <w:rFonts w:hint="eastAsia"/>
                <w:color w:val="000000"/>
                <w:kern w:val="0"/>
                <w:sz w:val="24"/>
              </w:rPr>
              <w:t>较大的市场份额。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pStyle w:val="10"/>
              <w:adjustRightInd/>
              <w:ind w:firstLine="480"/>
              <w:jc w:val="both"/>
              <w:rPr>
                <w:rFonts w:asci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五、公司未来发展战略</w:t>
            </w:r>
          </w:p>
          <w:p>
            <w:pPr>
              <w:pStyle w:val="10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公司坚持民爆和锂产业双主业联动发展，将充分发挥在产业链、区位、市场、管理、资源整合、人才和技术等方面的优势，在民爆产业方面不断巩固在民爆产业的行业地位和盈利能力，将公司打造成具有国际竞争力的民爆产业集团；在锂产业方面将通过资源保障、扩能建设和</w:t>
            </w:r>
            <w:r>
              <w:rPr>
                <w:rFonts w:ascii="Times New Roman" w:cs="Times New Roman"/>
              </w:rPr>
              <w:t>稳定</w:t>
            </w:r>
            <w:r>
              <w:rPr>
                <w:rFonts w:hint="eastAsia" w:ascii="Times New Roman" w:cs="Times New Roman"/>
              </w:rPr>
              <w:t>核心客户</w:t>
            </w:r>
            <w:r>
              <w:rPr>
                <w:rFonts w:ascii="Times New Roman" w:cs="Times New Roman"/>
              </w:rPr>
              <w:t>以</w:t>
            </w:r>
            <w:r>
              <w:rPr>
                <w:rFonts w:hint="eastAsia" w:ascii="Times New Roman" w:cs="Times New Roman"/>
              </w:rPr>
              <w:t>快速做强</w:t>
            </w:r>
            <w:r>
              <w:rPr>
                <w:rFonts w:hint="default" w:ascii="Times New Roman" w:cs="Times New Roman"/>
              </w:rPr>
              <w:t>做大</w:t>
            </w:r>
            <w:bookmarkStart w:id="0" w:name="_GoBack"/>
            <w:bookmarkEnd w:id="0"/>
            <w:r>
              <w:rPr>
                <w:rFonts w:hint="eastAsia" w:ascii="Times New Roman" w:cs="Times New Roman"/>
              </w:rPr>
              <w:t>，将公司打造成具有全球影响力的锂盐供应商。</w:t>
            </w:r>
          </w:p>
          <w:p>
            <w:pPr>
              <w:pStyle w:val="10"/>
              <w:adjustRightInd/>
              <w:jc w:val="both"/>
              <w:rPr>
                <w:rFonts w:ascii="Times New Roman" w:cs="Times New Roman"/>
              </w:rPr>
            </w:pPr>
          </w:p>
          <w:p>
            <w:pPr>
              <w:pStyle w:val="10"/>
              <w:adjustRightInd/>
              <w:ind w:firstLine="480"/>
              <w:jc w:val="both"/>
              <w:rPr>
                <w:rFonts w:ascii="Times New Roman" w:cs="Times New Roman"/>
              </w:rPr>
            </w:pPr>
          </w:p>
          <w:p>
            <w:pPr>
              <w:ind w:firstLine="480" w:firstLineChars="20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本次沟通会未涉及公司未公开披露的相关信息。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2020年7月16日</w:t>
            </w:r>
          </w:p>
        </w:tc>
      </w:tr>
    </w:tbl>
    <w:p/>
    <w:sectPr>
      <w:headerReference r:id="rId3" w:type="default"/>
      <w:pgSz w:w="11906" w:h="16838"/>
      <w:pgMar w:top="1091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29"/>
    <w:rsid w:val="00002512"/>
    <w:rsid w:val="000032C9"/>
    <w:rsid w:val="00006F6C"/>
    <w:rsid w:val="00007102"/>
    <w:rsid w:val="00007922"/>
    <w:rsid w:val="00014383"/>
    <w:rsid w:val="00014D85"/>
    <w:rsid w:val="0001741F"/>
    <w:rsid w:val="00020101"/>
    <w:rsid w:val="00022529"/>
    <w:rsid w:val="00024B86"/>
    <w:rsid w:val="000263CE"/>
    <w:rsid w:val="000265C7"/>
    <w:rsid w:val="00026DB0"/>
    <w:rsid w:val="00037B6F"/>
    <w:rsid w:val="00042385"/>
    <w:rsid w:val="0006278F"/>
    <w:rsid w:val="00062A80"/>
    <w:rsid w:val="00091342"/>
    <w:rsid w:val="000A3FF0"/>
    <w:rsid w:val="000A54CA"/>
    <w:rsid w:val="000A5914"/>
    <w:rsid w:val="000B0C82"/>
    <w:rsid w:val="000B3EF8"/>
    <w:rsid w:val="000C12EB"/>
    <w:rsid w:val="000C4865"/>
    <w:rsid w:val="000C507C"/>
    <w:rsid w:val="000E2A5E"/>
    <w:rsid w:val="000E5439"/>
    <w:rsid w:val="0010072C"/>
    <w:rsid w:val="00106AC4"/>
    <w:rsid w:val="00121AFE"/>
    <w:rsid w:val="0012355A"/>
    <w:rsid w:val="00125CA8"/>
    <w:rsid w:val="001301D0"/>
    <w:rsid w:val="00130F62"/>
    <w:rsid w:val="00132FD7"/>
    <w:rsid w:val="00134BB7"/>
    <w:rsid w:val="001454C8"/>
    <w:rsid w:val="001518F8"/>
    <w:rsid w:val="0015355E"/>
    <w:rsid w:val="00154E4F"/>
    <w:rsid w:val="00156996"/>
    <w:rsid w:val="00170704"/>
    <w:rsid w:val="00170A9F"/>
    <w:rsid w:val="0017189E"/>
    <w:rsid w:val="001756E4"/>
    <w:rsid w:val="00183CE4"/>
    <w:rsid w:val="0018459C"/>
    <w:rsid w:val="00186EB3"/>
    <w:rsid w:val="001970B2"/>
    <w:rsid w:val="001B317F"/>
    <w:rsid w:val="001B7E69"/>
    <w:rsid w:val="001C6484"/>
    <w:rsid w:val="001D0EED"/>
    <w:rsid w:val="001D1156"/>
    <w:rsid w:val="001D1CEC"/>
    <w:rsid w:val="001D2DA4"/>
    <w:rsid w:val="001D2EFC"/>
    <w:rsid w:val="001D3866"/>
    <w:rsid w:val="001D53B5"/>
    <w:rsid w:val="001D5F4F"/>
    <w:rsid w:val="001E1342"/>
    <w:rsid w:val="001E7086"/>
    <w:rsid w:val="001F2E7B"/>
    <w:rsid w:val="001F35F8"/>
    <w:rsid w:val="0021264C"/>
    <w:rsid w:val="002139C6"/>
    <w:rsid w:val="002222F2"/>
    <w:rsid w:val="002255E1"/>
    <w:rsid w:val="002309D2"/>
    <w:rsid w:val="00236D4C"/>
    <w:rsid w:val="002377F5"/>
    <w:rsid w:val="00237D94"/>
    <w:rsid w:val="00245EA2"/>
    <w:rsid w:val="00250274"/>
    <w:rsid w:val="00255ACC"/>
    <w:rsid w:val="002578F8"/>
    <w:rsid w:val="002605DC"/>
    <w:rsid w:val="00262F7B"/>
    <w:rsid w:val="00263BA0"/>
    <w:rsid w:val="00265332"/>
    <w:rsid w:val="002747AE"/>
    <w:rsid w:val="002769C4"/>
    <w:rsid w:val="002822C1"/>
    <w:rsid w:val="00282942"/>
    <w:rsid w:val="0028486C"/>
    <w:rsid w:val="00290B75"/>
    <w:rsid w:val="002934BD"/>
    <w:rsid w:val="00297341"/>
    <w:rsid w:val="002A4748"/>
    <w:rsid w:val="002A501D"/>
    <w:rsid w:val="002B25D5"/>
    <w:rsid w:val="002C10F8"/>
    <w:rsid w:val="002C340C"/>
    <w:rsid w:val="002C3B21"/>
    <w:rsid w:val="002C3D5A"/>
    <w:rsid w:val="002C41B8"/>
    <w:rsid w:val="002C7FAB"/>
    <w:rsid w:val="002D072E"/>
    <w:rsid w:val="002D2D26"/>
    <w:rsid w:val="002E2735"/>
    <w:rsid w:val="002E71C5"/>
    <w:rsid w:val="002F2484"/>
    <w:rsid w:val="002F52D2"/>
    <w:rsid w:val="002F757A"/>
    <w:rsid w:val="002F7B27"/>
    <w:rsid w:val="003103B3"/>
    <w:rsid w:val="00310826"/>
    <w:rsid w:val="00314D78"/>
    <w:rsid w:val="0031681D"/>
    <w:rsid w:val="003256CA"/>
    <w:rsid w:val="0032656B"/>
    <w:rsid w:val="003326E1"/>
    <w:rsid w:val="00342791"/>
    <w:rsid w:val="003507A3"/>
    <w:rsid w:val="0035118E"/>
    <w:rsid w:val="00351217"/>
    <w:rsid w:val="003512B7"/>
    <w:rsid w:val="00361BFB"/>
    <w:rsid w:val="00362965"/>
    <w:rsid w:val="003634B2"/>
    <w:rsid w:val="00363F57"/>
    <w:rsid w:val="00364D4E"/>
    <w:rsid w:val="00365813"/>
    <w:rsid w:val="00367B98"/>
    <w:rsid w:val="00372114"/>
    <w:rsid w:val="00376472"/>
    <w:rsid w:val="00380924"/>
    <w:rsid w:val="00384043"/>
    <w:rsid w:val="0038581C"/>
    <w:rsid w:val="003877E2"/>
    <w:rsid w:val="00391F4A"/>
    <w:rsid w:val="00394734"/>
    <w:rsid w:val="003A7976"/>
    <w:rsid w:val="003B276F"/>
    <w:rsid w:val="003B2B53"/>
    <w:rsid w:val="003B7DBB"/>
    <w:rsid w:val="003C1B4F"/>
    <w:rsid w:val="003D38C7"/>
    <w:rsid w:val="003D6DF1"/>
    <w:rsid w:val="003E1317"/>
    <w:rsid w:val="003E243E"/>
    <w:rsid w:val="003E3791"/>
    <w:rsid w:val="003E52FB"/>
    <w:rsid w:val="00400615"/>
    <w:rsid w:val="00400D4C"/>
    <w:rsid w:val="00411250"/>
    <w:rsid w:val="004141F7"/>
    <w:rsid w:val="00417E6A"/>
    <w:rsid w:val="00425C80"/>
    <w:rsid w:val="0042719D"/>
    <w:rsid w:val="00435394"/>
    <w:rsid w:val="004400E0"/>
    <w:rsid w:val="0044418D"/>
    <w:rsid w:val="00447734"/>
    <w:rsid w:val="0045138E"/>
    <w:rsid w:val="00452E29"/>
    <w:rsid w:val="004538CD"/>
    <w:rsid w:val="00453970"/>
    <w:rsid w:val="00456F24"/>
    <w:rsid w:val="00461147"/>
    <w:rsid w:val="00464E04"/>
    <w:rsid w:val="00470106"/>
    <w:rsid w:val="004729F2"/>
    <w:rsid w:val="0049147B"/>
    <w:rsid w:val="00497D10"/>
    <w:rsid w:val="004A1997"/>
    <w:rsid w:val="004B085D"/>
    <w:rsid w:val="004B23EF"/>
    <w:rsid w:val="004B633C"/>
    <w:rsid w:val="004B673E"/>
    <w:rsid w:val="004C42D7"/>
    <w:rsid w:val="004D2F68"/>
    <w:rsid w:val="004D3D65"/>
    <w:rsid w:val="004D58D9"/>
    <w:rsid w:val="004E160E"/>
    <w:rsid w:val="004E17E4"/>
    <w:rsid w:val="004E6ABC"/>
    <w:rsid w:val="004E6B3E"/>
    <w:rsid w:val="004F7E08"/>
    <w:rsid w:val="0050127B"/>
    <w:rsid w:val="005023BF"/>
    <w:rsid w:val="00502734"/>
    <w:rsid w:val="005030E8"/>
    <w:rsid w:val="00503A19"/>
    <w:rsid w:val="00503A59"/>
    <w:rsid w:val="00512242"/>
    <w:rsid w:val="00514D6B"/>
    <w:rsid w:val="005168F9"/>
    <w:rsid w:val="00517005"/>
    <w:rsid w:val="0052263D"/>
    <w:rsid w:val="00523114"/>
    <w:rsid w:val="0052491E"/>
    <w:rsid w:val="005254F8"/>
    <w:rsid w:val="0053481F"/>
    <w:rsid w:val="00536811"/>
    <w:rsid w:val="00541019"/>
    <w:rsid w:val="00542BD7"/>
    <w:rsid w:val="00544042"/>
    <w:rsid w:val="005536B7"/>
    <w:rsid w:val="00582C03"/>
    <w:rsid w:val="005830DC"/>
    <w:rsid w:val="005913A6"/>
    <w:rsid w:val="00594327"/>
    <w:rsid w:val="00594474"/>
    <w:rsid w:val="00595495"/>
    <w:rsid w:val="005978D5"/>
    <w:rsid w:val="005A390D"/>
    <w:rsid w:val="005A6D3C"/>
    <w:rsid w:val="005B0172"/>
    <w:rsid w:val="005B14CF"/>
    <w:rsid w:val="005B4E97"/>
    <w:rsid w:val="005C2605"/>
    <w:rsid w:val="005C2645"/>
    <w:rsid w:val="005C4633"/>
    <w:rsid w:val="005C49F8"/>
    <w:rsid w:val="005D3F19"/>
    <w:rsid w:val="005D5BC3"/>
    <w:rsid w:val="005F6439"/>
    <w:rsid w:val="0060095B"/>
    <w:rsid w:val="00602E0E"/>
    <w:rsid w:val="006067FE"/>
    <w:rsid w:val="00606E1F"/>
    <w:rsid w:val="00610A8D"/>
    <w:rsid w:val="00616DA6"/>
    <w:rsid w:val="00624E64"/>
    <w:rsid w:val="00626594"/>
    <w:rsid w:val="00626AA7"/>
    <w:rsid w:val="00633322"/>
    <w:rsid w:val="00634100"/>
    <w:rsid w:val="00634E63"/>
    <w:rsid w:val="00635FEE"/>
    <w:rsid w:val="00637966"/>
    <w:rsid w:val="00637CA7"/>
    <w:rsid w:val="00643029"/>
    <w:rsid w:val="00650475"/>
    <w:rsid w:val="00654C02"/>
    <w:rsid w:val="00663D9E"/>
    <w:rsid w:val="006753FC"/>
    <w:rsid w:val="00675620"/>
    <w:rsid w:val="0068266E"/>
    <w:rsid w:val="00690C1A"/>
    <w:rsid w:val="006A761D"/>
    <w:rsid w:val="006B0FAA"/>
    <w:rsid w:val="006C09E0"/>
    <w:rsid w:val="006C1F8C"/>
    <w:rsid w:val="006C5F3B"/>
    <w:rsid w:val="006D1EA7"/>
    <w:rsid w:val="006E6C74"/>
    <w:rsid w:val="006F4183"/>
    <w:rsid w:val="006F475F"/>
    <w:rsid w:val="006F64A4"/>
    <w:rsid w:val="0070160A"/>
    <w:rsid w:val="007026CD"/>
    <w:rsid w:val="007118E9"/>
    <w:rsid w:val="00716737"/>
    <w:rsid w:val="00716A44"/>
    <w:rsid w:val="007210A3"/>
    <w:rsid w:val="007266FF"/>
    <w:rsid w:val="007278DD"/>
    <w:rsid w:val="007352B1"/>
    <w:rsid w:val="00742A63"/>
    <w:rsid w:val="0074559D"/>
    <w:rsid w:val="00747355"/>
    <w:rsid w:val="00750992"/>
    <w:rsid w:val="0075674C"/>
    <w:rsid w:val="0076161B"/>
    <w:rsid w:val="007622E0"/>
    <w:rsid w:val="00766188"/>
    <w:rsid w:val="007739AD"/>
    <w:rsid w:val="007760CD"/>
    <w:rsid w:val="00784386"/>
    <w:rsid w:val="007847E7"/>
    <w:rsid w:val="00795441"/>
    <w:rsid w:val="00796FDC"/>
    <w:rsid w:val="007A4D9F"/>
    <w:rsid w:val="007A65DD"/>
    <w:rsid w:val="007B0084"/>
    <w:rsid w:val="007B0B65"/>
    <w:rsid w:val="007C2664"/>
    <w:rsid w:val="007C2EF3"/>
    <w:rsid w:val="007E04EB"/>
    <w:rsid w:val="007E1B74"/>
    <w:rsid w:val="007E1F23"/>
    <w:rsid w:val="007E60DD"/>
    <w:rsid w:val="007F04B6"/>
    <w:rsid w:val="0080117E"/>
    <w:rsid w:val="008054FF"/>
    <w:rsid w:val="0080755F"/>
    <w:rsid w:val="00814605"/>
    <w:rsid w:val="00815181"/>
    <w:rsid w:val="00817F62"/>
    <w:rsid w:val="00826849"/>
    <w:rsid w:val="008276C2"/>
    <w:rsid w:val="00831440"/>
    <w:rsid w:val="008334C5"/>
    <w:rsid w:val="00834BE1"/>
    <w:rsid w:val="00834DBE"/>
    <w:rsid w:val="008356C2"/>
    <w:rsid w:val="00836CDE"/>
    <w:rsid w:val="008372C4"/>
    <w:rsid w:val="008373AD"/>
    <w:rsid w:val="008476B0"/>
    <w:rsid w:val="00850D57"/>
    <w:rsid w:val="00853745"/>
    <w:rsid w:val="00853BBF"/>
    <w:rsid w:val="00853F4D"/>
    <w:rsid w:val="008562BF"/>
    <w:rsid w:val="00857CB5"/>
    <w:rsid w:val="00861E0A"/>
    <w:rsid w:val="0086337B"/>
    <w:rsid w:val="008642DF"/>
    <w:rsid w:val="00866CA2"/>
    <w:rsid w:val="00873EE8"/>
    <w:rsid w:val="00874AF7"/>
    <w:rsid w:val="00875049"/>
    <w:rsid w:val="0087680C"/>
    <w:rsid w:val="0088392A"/>
    <w:rsid w:val="00884078"/>
    <w:rsid w:val="008917BA"/>
    <w:rsid w:val="00891BB8"/>
    <w:rsid w:val="008930EC"/>
    <w:rsid w:val="00894B90"/>
    <w:rsid w:val="0089664A"/>
    <w:rsid w:val="008A1461"/>
    <w:rsid w:val="008A2DB2"/>
    <w:rsid w:val="008B5799"/>
    <w:rsid w:val="008C5E2C"/>
    <w:rsid w:val="008C6DC2"/>
    <w:rsid w:val="008D32A6"/>
    <w:rsid w:val="008D3E1D"/>
    <w:rsid w:val="008E0C9E"/>
    <w:rsid w:val="008E3B6F"/>
    <w:rsid w:val="008F0FBC"/>
    <w:rsid w:val="009100D8"/>
    <w:rsid w:val="0091163A"/>
    <w:rsid w:val="00915144"/>
    <w:rsid w:val="00922FAE"/>
    <w:rsid w:val="00924ACB"/>
    <w:rsid w:val="00931071"/>
    <w:rsid w:val="0093482B"/>
    <w:rsid w:val="0093706A"/>
    <w:rsid w:val="00937DE5"/>
    <w:rsid w:val="00941107"/>
    <w:rsid w:val="00943F91"/>
    <w:rsid w:val="00945466"/>
    <w:rsid w:val="009466E4"/>
    <w:rsid w:val="009518F6"/>
    <w:rsid w:val="00961427"/>
    <w:rsid w:val="009616CF"/>
    <w:rsid w:val="00965268"/>
    <w:rsid w:val="00965939"/>
    <w:rsid w:val="00972B2B"/>
    <w:rsid w:val="00982DA6"/>
    <w:rsid w:val="00983957"/>
    <w:rsid w:val="00987685"/>
    <w:rsid w:val="00990BC2"/>
    <w:rsid w:val="00993DCF"/>
    <w:rsid w:val="009A1889"/>
    <w:rsid w:val="009B20F6"/>
    <w:rsid w:val="009D0BEC"/>
    <w:rsid w:val="009D702C"/>
    <w:rsid w:val="009E0E00"/>
    <w:rsid w:val="009E1E6B"/>
    <w:rsid w:val="009E70B4"/>
    <w:rsid w:val="009E7D8B"/>
    <w:rsid w:val="009F0358"/>
    <w:rsid w:val="009F084C"/>
    <w:rsid w:val="009F1BB0"/>
    <w:rsid w:val="009F3821"/>
    <w:rsid w:val="009F474B"/>
    <w:rsid w:val="00A04D9C"/>
    <w:rsid w:val="00A07F95"/>
    <w:rsid w:val="00A1100A"/>
    <w:rsid w:val="00A13D80"/>
    <w:rsid w:val="00A13FAD"/>
    <w:rsid w:val="00A15AA6"/>
    <w:rsid w:val="00A16221"/>
    <w:rsid w:val="00A234E6"/>
    <w:rsid w:val="00A24365"/>
    <w:rsid w:val="00A2593A"/>
    <w:rsid w:val="00A31A54"/>
    <w:rsid w:val="00A31F8A"/>
    <w:rsid w:val="00A371A2"/>
    <w:rsid w:val="00A45CE3"/>
    <w:rsid w:val="00A47629"/>
    <w:rsid w:val="00A532E1"/>
    <w:rsid w:val="00A53D0A"/>
    <w:rsid w:val="00A57411"/>
    <w:rsid w:val="00A57524"/>
    <w:rsid w:val="00A6163F"/>
    <w:rsid w:val="00A626A0"/>
    <w:rsid w:val="00A63803"/>
    <w:rsid w:val="00A70AE6"/>
    <w:rsid w:val="00A72D64"/>
    <w:rsid w:val="00A731E2"/>
    <w:rsid w:val="00A86E54"/>
    <w:rsid w:val="00A91E20"/>
    <w:rsid w:val="00AA201D"/>
    <w:rsid w:val="00AB00A1"/>
    <w:rsid w:val="00AB0C11"/>
    <w:rsid w:val="00AB4D9F"/>
    <w:rsid w:val="00AC10D4"/>
    <w:rsid w:val="00AC6735"/>
    <w:rsid w:val="00AD2D20"/>
    <w:rsid w:val="00AD3CB9"/>
    <w:rsid w:val="00AE0BEF"/>
    <w:rsid w:val="00AE63F5"/>
    <w:rsid w:val="00AF02A9"/>
    <w:rsid w:val="00AF51CB"/>
    <w:rsid w:val="00B00A15"/>
    <w:rsid w:val="00B072F5"/>
    <w:rsid w:val="00B07D09"/>
    <w:rsid w:val="00B13077"/>
    <w:rsid w:val="00B17C54"/>
    <w:rsid w:val="00B2606B"/>
    <w:rsid w:val="00B319CF"/>
    <w:rsid w:val="00B35D93"/>
    <w:rsid w:val="00B41B6A"/>
    <w:rsid w:val="00B41DDE"/>
    <w:rsid w:val="00B61950"/>
    <w:rsid w:val="00B707D7"/>
    <w:rsid w:val="00B764AA"/>
    <w:rsid w:val="00B767CC"/>
    <w:rsid w:val="00B81DC0"/>
    <w:rsid w:val="00B84CB4"/>
    <w:rsid w:val="00B853EE"/>
    <w:rsid w:val="00B85A0E"/>
    <w:rsid w:val="00BA3076"/>
    <w:rsid w:val="00BA3943"/>
    <w:rsid w:val="00BB0134"/>
    <w:rsid w:val="00BB056A"/>
    <w:rsid w:val="00BB1047"/>
    <w:rsid w:val="00BB2BEF"/>
    <w:rsid w:val="00BB4DA1"/>
    <w:rsid w:val="00BB7154"/>
    <w:rsid w:val="00BC6B2A"/>
    <w:rsid w:val="00BD730C"/>
    <w:rsid w:val="00BD74E4"/>
    <w:rsid w:val="00BE69B5"/>
    <w:rsid w:val="00BF51C7"/>
    <w:rsid w:val="00BF5E55"/>
    <w:rsid w:val="00C001BB"/>
    <w:rsid w:val="00C0373D"/>
    <w:rsid w:val="00C07D73"/>
    <w:rsid w:val="00C26574"/>
    <w:rsid w:val="00C26E86"/>
    <w:rsid w:val="00C31AEB"/>
    <w:rsid w:val="00C31F18"/>
    <w:rsid w:val="00C363FF"/>
    <w:rsid w:val="00C408A9"/>
    <w:rsid w:val="00C43079"/>
    <w:rsid w:val="00C55DB4"/>
    <w:rsid w:val="00C56CE8"/>
    <w:rsid w:val="00C571D2"/>
    <w:rsid w:val="00C6434B"/>
    <w:rsid w:val="00C73DA3"/>
    <w:rsid w:val="00C7472B"/>
    <w:rsid w:val="00C75303"/>
    <w:rsid w:val="00CA044D"/>
    <w:rsid w:val="00CA7870"/>
    <w:rsid w:val="00CB1AB7"/>
    <w:rsid w:val="00CB2A49"/>
    <w:rsid w:val="00CB620E"/>
    <w:rsid w:val="00CC2B74"/>
    <w:rsid w:val="00CD7D21"/>
    <w:rsid w:val="00CE4373"/>
    <w:rsid w:val="00CF3B33"/>
    <w:rsid w:val="00CF4721"/>
    <w:rsid w:val="00CF7DBF"/>
    <w:rsid w:val="00D04FE4"/>
    <w:rsid w:val="00D06C2E"/>
    <w:rsid w:val="00D07697"/>
    <w:rsid w:val="00D15D44"/>
    <w:rsid w:val="00D20072"/>
    <w:rsid w:val="00D245B9"/>
    <w:rsid w:val="00D2572B"/>
    <w:rsid w:val="00D32530"/>
    <w:rsid w:val="00D338CA"/>
    <w:rsid w:val="00D409B5"/>
    <w:rsid w:val="00D46538"/>
    <w:rsid w:val="00D52AA4"/>
    <w:rsid w:val="00D54CEE"/>
    <w:rsid w:val="00D60B57"/>
    <w:rsid w:val="00D60F3B"/>
    <w:rsid w:val="00D64694"/>
    <w:rsid w:val="00D65D2B"/>
    <w:rsid w:val="00D670AF"/>
    <w:rsid w:val="00D71157"/>
    <w:rsid w:val="00D771A2"/>
    <w:rsid w:val="00D837EE"/>
    <w:rsid w:val="00D952C5"/>
    <w:rsid w:val="00D953C4"/>
    <w:rsid w:val="00DA0654"/>
    <w:rsid w:val="00DA199E"/>
    <w:rsid w:val="00DA3946"/>
    <w:rsid w:val="00DA681B"/>
    <w:rsid w:val="00DB00E3"/>
    <w:rsid w:val="00DB1F7F"/>
    <w:rsid w:val="00DC1C20"/>
    <w:rsid w:val="00DC1F1C"/>
    <w:rsid w:val="00DD43E0"/>
    <w:rsid w:val="00DD608D"/>
    <w:rsid w:val="00DD60C7"/>
    <w:rsid w:val="00DD6C99"/>
    <w:rsid w:val="00DD7297"/>
    <w:rsid w:val="00DE5151"/>
    <w:rsid w:val="00DE61E8"/>
    <w:rsid w:val="00DE6D9F"/>
    <w:rsid w:val="00DE747F"/>
    <w:rsid w:val="00E049B6"/>
    <w:rsid w:val="00E05BE4"/>
    <w:rsid w:val="00E05E63"/>
    <w:rsid w:val="00E05F01"/>
    <w:rsid w:val="00E142A4"/>
    <w:rsid w:val="00E16512"/>
    <w:rsid w:val="00E20353"/>
    <w:rsid w:val="00E26BFA"/>
    <w:rsid w:val="00E30B09"/>
    <w:rsid w:val="00E32458"/>
    <w:rsid w:val="00E36706"/>
    <w:rsid w:val="00E455F0"/>
    <w:rsid w:val="00E462BA"/>
    <w:rsid w:val="00E502A2"/>
    <w:rsid w:val="00E509C2"/>
    <w:rsid w:val="00E52706"/>
    <w:rsid w:val="00E544AE"/>
    <w:rsid w:val="00E60028"/>
    <w:rsid w:val="00E633E9"/>
    <w:rsid w:val="00E654A5"/>
    <w:rsid w:val="00E66877"/>
    <w:rsid w:val="00E83158"/>
    <w:rsid w:val="00E84835"/>
    <w:rsid w:val="00E86AF2"/>
    <w:rsid w:val="00E910EE"/>
    <w:rsid w:val="00E91FCB"/>
    <w:rsid w:val="00E92040"/>
    <w:rsid w:val="00EA2048"/>
    <w:rsid w:val="00EA44D6"/>
    <w:rsid w:val="00EB7C25"/>
    <w:rsid w:val="00EB7E17"/>
    <w:rsid w:val="00EC0BA7"/>
    <w:rsid w:val="00EC0BC9"/>
    <w:rsid w:val="00ED1085"/>
    <w:rsid w:val="00ED31A0"/>
    <w:rsid w:val="00ED6F5F"/>
    <w:rsid w:val="00EE51BB"/>
    <w:rsid w:val="00EF1F16"/>
    <w:rsid w:val="00EF447A"/>
    <w:rsid w:val="00F012C6"/>
    <w:rsid w:val="00F04928"/>
    <w:rsid w:val="00F12698"/>
    <w:rsid w:val="00F128EF"/>
    <w:rsid w:val="00F14AE6"/>
    <w:rsid w:val="00F20101"/>
    <w:rsid w:val="00F247DC"/>
    <w:rsid w:val="00F26E30"/>
    <w:rsid w:val="00F37B31"/>
    <w:rsid w:val="00F467C6"/>
    <w:rsid w:val="00F5142E"/>
    <w:rsid w:val="00F52F9F"/>
    <w:rsid w:val="00F5330B"/>
    <w:rsid w:val="00F55444"/>
    <w:rsid w:val="00F57510"/>
    <w:rsid w:val="00F60884"/>
    <w:rsid w:val="00F63708"/>
    <w:rsid w:val="00F66C5A"/>
    <w:rsid w:val="00F72543"/>
    <w:rsid w:val="00F75217"/>
    <w:rsid w:val="00F760E8"/>
    <w:rsid w:val="00F8147A"/>
    <w:rsid w:val="00F83BC0"/>
    <w:rsid w:val="00F8774A"/>
    <w:rsid w:val="00F94087"/>
    <w:rsid w:val="00F97ADD"/>
    <w:rsid w:val="00FA1211"/>
    <w:rsid w:val="00FA2ADD"/>
    <w:rsid w:val="00FA6BB6"/>
    <w:rsid w:val="00FB1DBC"/>
    <w:rsid w:val="00FB3F1C"/>
    <w:rsid w:val="00FB44E4"/>
    <w:rsid w:val="00FB5DA4"/>
    <w:rsid w:val="00FC3232"/>
    <w:rsid w:val="00FC3D25"/>
    <w:rsid w:val="00FC724F"/>
    <w:rsid w:val="00FC76BA"/>
    <w:rsid w:val="00FC76EC"/>
    <w:rsid w:val="00FD6244"/>
    <w:rsid w:val="00FD7B4A"/>
    <w:rsid w:val="00FE1E18"/>
    <w:rsid w:val="00FE2020"/>
    <w:rsid w:val="00FF7773"/>
    <w:rsid w:val="00FF7E7F"/>
    <w:rsid w:val="5FCFCEC1"/>
    <w:rsid w:val="5FD7249D"/>
    <w:rsid w:val="7B4CE9BC"/>
    <w:rsid w:val="7EFF1CA6"/>
    <w:rsid w:val="7FFEC027"/>
    <w:rsid w:val="A73FBF3F"/>
    <w:rsid w:val="BFFFCC41"/>
    <w:rsid w:val="D1FC9E78"/>
    <w:rsid w:val="D7EB47F8"/>
    <w:rsid w:val="FDFBD6DE"/>
    <w:rsid w:val="FEE5E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213</Words>
  <Characters>1216</Characters>
  <Lines>10</Lines>
  <Paragraphs>2</Paragraphs>
  <TotalTime>96</TotalTime>
  <ScaleCrop>false</ScaleCrop>
  <LinksUpToDate>false</LinksUpToDate>
  <CharactersWithSpaces>1427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2020-07-17T09:50:00Z</dcterms:created>
  <dc:creator>微软用户</dc:creator>
  <cp:lastModifiedBy>郑璐</cp:lastModifiedBy>
  <cp:lastPrinted>2018-07-14T08:04:00Z</cp:lastPrinted>
  <dcterms:modified xsi:type="dcterms:W3CDTF">2020-07-17T15:20:09Z</dcterms:modified>
  <dc:title>证券代码：                               证券简称：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