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A5" w:rsidRDefault="00843759" w:rsidP="00595828">
      <w:pPr>
        <w:spacing w:after="220"/>
      </w:pPr>
      <w:r>
        <w:rPr>
          <w:rFonts w:ascii="宋体" w:eastAsia="宋体" w:hAnsi="宋体" w:cs="宋体"/>
          <w:sz w:val="24"/>
        </w:rPr>
        <w:t>证券代码：</w:t>
      </w:r>
      <w:r>
        <w:rPr>
          <w:rFonts w:ascii="宋体" w:eastAsia="宋体" w:hAnsi="宋体" w:cs="宋体" w:hint="eastAsia"/>
          <w:sz w:val="24"/>
        </w:rPr>
        <w:t>688001</w:t>
      </w:r>
      <w:r>
        <w:rPr>
          <w:rFonts w:ascii="宋体" w:eastAsia="宋体" w:hAnsi="宋体" w:cs="宋体"/>
          <w:sz w:val="24"/>
        </w:rPr>
        <w:t xml:space="preserve">                                   </w:t>
      </w:r>
      <w:r w:rsidR="00595828">
        <w:rPr>
          <w:rFonts w:ascii="宋体" w:eastAsia="宋体" w:hAnsi="宋体" w:cs="宋体"/>
          <w:sz w:val="24"/>
        </w:rPr>
        <w:t>证券简称：</w:t>
      </w:r>
      <w:r w:rsidR="00595828">
        <w:rPr>
          <w:rFonts w:ascii="宋体" w:eastAsia="宋体" w:hAnsi="宋体" w:cs="宋体" w:hint="eastAsia"/>
          <w:sz w:val="24"/>
        </w:rPr>
        <w:t xml:space="preserve">华兴源创 </w:t>
      </w:r>
      <w:r w:rsidR="00595828">
        <w:rPr>
          <w:rFonts w:ascii="宋体" w:eastAsia="宋体" w:hAnsi="宋体" w:cs="宋体"/>
          <w:sz w:val="24"/>
        </w:rPr>
        <w:t xml:space="preserve">       </w:t>
      </w:r>
      <w:r w:rsidR="00E0201F">
        <w:rPr>
          <w:rFonts w:ascii="宋体" w:eastAsia="宋体" w:hAnsi="宋体" w:cs="宋体"/>
          <w:sz w:val="24"/>
        </w:rPr>
        <w:t xml:space="preserve">     </w:t>
      </w:r>
      <w:r w:rsidR="00595828">
        <w:rPr>
          <w:rFonts w:ascii="宋体" w:eastAsia="宋体" w:hAnsi="宋体" w:cs="宋体"/>
          <w:sz w:val="24"/>
        </w:rPr>
        <w:t xml:space="preserve">                     </w:t>
      </w:r>
      <w:r w:rsidR="00E0201F">
        <w:rPr>
          <w:rFonts w:ascii="宋体" w:eastAsia="宋体" w:hAnsi="宋体" w:cs="宋体"/>
          <w:sz w:val="24"/>
        </w:rPr>
        <w:t xml:space="preserve">        </w:t>
      </w:r>
    </w:p>
    <w:p w:rsidR="00A54DA5" w:rsidRDefault="00E0201F">
      <w:pPr>
        <w:spacing w:after="217"/>
        <w:ind w:left="4153"/>
      </w:pPr>
      <w:r>
        <w:rPr>
          <w:rFonts w:ascii="宋体" w:eastAsia="宋体" w:hAnsi="宋体" w:cs="宋体"/>
          <w:sz w:val="24"/>
        </w:rPr>
        <w:t xml:space="preserve"> </w:t>
      </w:r>
    </w:p>
    <w:p w:rsidR="00BE6EB3" w:rsidRPr="00595828" w:rsidRDefault="00BE6EB3" w:rsidP="00BE6EB3">
      <w:pPr>
        <w:spacing w:after="0"/>
        <w:rPr>
          <w:rFonts w:ascii="宋体" w:eastAsia="宋体" w:hAnsi="宋体" w:cs="宋体"/>
          <w:b/>
          <w:sz w:val="32"/>
        </w:rPr>
      </w:pPr>
      <w:r w:rsidRPr="00595828">
        <w:rPr>
          <w:rFonts w:ascii="宋体" w:eastAsia="宋体" w:hAnsi="宋体" w:cs="宋体" w:hint="eastAsia"/>
          <w:b/>
          <w:sz w:val="32"/>
        </w:rPr>
        <w:t>苏州华兴源创</w:t>
      </w:r>
      <w:r w:rsidR="00E0201F" w:rsidRPr="00595828">
        <w:rPr>
          <w:rFonts w:ascii="宋体" w:eastAsia="宋体" w:hAnsi="宋体" w:cs="宋体"/>
          <w:b/>
          <w:sz w:val="32"/>
        </w:rPr>
        <w:t>科技股份有限公司投资者关系活动记录表</w:t>
      </w:r>
    </w:p>
    <w:p w:rsidR="00A54DA5" w:rsidRDefault="00E0201F">
      <w:pPr>
        <w:spacing w:after="0"/>
        <w:ind w:left="1179"/>
        <w:jc w:val="right"/>
      </w:pPr>
      <w:r>
        <w:rPr>
          <w:rFonts w:ascii="宋体" w:eastAsia="宋体" w:hAnsi="宋体" w:cs="宋体"/>
          <w:sz w:val="21"/>
        </w:rPr>
        <w:t xml:space="preserve">编号： </w:t>
      </w:r>
      <w:r w:rsidR="00137002">
        <w:rPr>
          <w:rFonts w:ascii="宋体" w:eastAsia="宋体" w:hAnsi="宋体" w:cs="宋体"/>
          <w:sz w:val="21"/>
        </w:rPr>
        <w:t>20</w:t>
      </w:r>
      <w:r w:rsidR="00137002">
        <w:rPr>
          <w:rFonts w:ascii="宋体" w:eastAsia="宋体" w:hAnsi="宋体" w:cs="宋体" w:hint="eastAsia"/>
          <w:sz w:val="21"/>
        </w:rPr>
        <w:t>20</w:t>
      </w:r>
      <w:r w:rsidR="00843759">
        <w:rPr>
          <w:rFonts w:ascii="宋体" w:eastAsia="宋体" w:hAnsi="宋体" w:cs="宋体" w:hint="eastAsia"/>
          <w:sz w:val="21"/>
        </w:rPr>
        <w:t>-</w:t>
      </w:r>
      <w:r w:rsidR="001B1CBE">
        <w:rPr>
          <w:rFonts w:ascii="宋体" w:eastAsia="宋体" w:hAnsi="宋体" w:cs="宋体"/>
          <w:sz w:val="21"/>
        </w:rPr>
        <w:t>00</w:t>
      </w:r>
      <w:r w:rsidR="00137002">
        <w:rPr>
          <w:rFonts w:ascii="宋体" w:eastAsia="宋体" w:hAnsi="宋体" w:cs="宋体" w:hint="eastAsia"/>
          <w:sz w:val="21"/>
        </w:rPr>
        <w:t>1</w:t>
      </w:r>
    </w:p>
    <w:tbl>
      <w:tblPr>
        <w:tblStyle w:val="TableGrid"/>
        <w:tblW w:w="9976" w:type="dxa"/>
        <w:tblInd w:w="-744" w:type="dxa"/>
        <w:tblCellMar>
          <w:left w:w="108" w:type="dxa"/>
          <w:bottom w:w="41" w:type="dxa"/>
        </w:tblCellMar>
        <w:tblLook w:val="04A0" w:firstRow="1" w:lastRow="0" w:firstColumn="1" w:lastColumn="0" w:noHBand="0" w:noVBand="1"/>
      </w:tblPr>
      <w:tblGrid>
        <w:gridCol w:w="2100"/>
        <w:gridCol w:w="7876"/>
      </w:tblGrid>
      <w:tr w:rsidR="00A54DA5" w:rsidRPr="00843759" w:rsidTr="00E105E4">
        <w:trPr>
          <w:trHeight w:val="2413"/>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876" w:type="dxa"/>
            <w:tcBorders>
              <w:top w:val="single" w:sz="4" w:space="0" w:color="000000"/>
              <w:left w:val="single" w:sz="4" w:space="0" w:color="000000"/>
              <w:bottom w:val="single" w:sz="4" w:space="0" w:color="000000"/>
              <w:right w:val="single" w:sz="4" w:space="0" w:color="000000"/>
            </w:tcBorders>
            <w:vAlign w:val="bottom"/>
          </w:tcPr>
          <w:p w:rsidR="00A54DA5" w:rsidRPr="00843759" w:rsidRDefault="00F8644C"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E0201F" w:rsidRPr="00843759">
              <w:rPr>
                <w:rFonts w:ascii="宋体" w:eastAsia="宋体" w:hAnsi="宋体" w:cs="宋体"/>
                <w:sz w:val="24"/>
                <w:szCs w:val="24"/>
              </w:rPr>
              <w:t xml:space="preserve">特定对象调研        □分析师会议 </w:t>
            </w:r>
          </w:p>
          <w:p w:rsidR="00A54DA5" w:rsidRPr="00843759" w:rsidRDefault="00137002"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E0201F" w:rsidRPr="00843759">
              <w:rPr>
                <w:rFonts w:ascii="宋体" w:eastAsia="宋体" w:hAnsi="宋体" w:cs="宋体"/>
                <w:sz w:val="24"/>
                <w:szCs w:val="24"/>
              </w:rPr>
              <w:t xml:space="preserve">媒体采访            □业绩说明会 </w:t>
            </w:r>
          </w:p>
          <w:p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w:t>
            </w:r>
            <w:r w:rsidR="00F8644C">
              <w:rPr>
                <w:rFonts w:ascii="宋体" w:eastAsia="宋体" w:hAnsi="宋体" w:cs="宋体"/>
                <w:sz w:val="24"/>
                <w:szCs w:val="24"/>
              </w:rPr>
              <w:t xml:space="preserve"> </w:t>
            </w:r>
            <w:r w:rsidR="00F8644C" w:rsidRPr="00843759">
              <w:rPr>
                <w:rFonts w:ascii="宋体" w:eastAsia="宋体" w:hAnsi="宋体" w:cs="宋体" w:hint="eastAsia"/>
                <w:sz w:val="24"/>
                <w:szCs w:val="24"/>
              </w:rPr>
              <w:t>■</w:t>
            </w:r>
            <w:r w:rsidRPr="00843759">
              <w:rPr>
                <w:rFonts w:ascii="宋体" w:eastAsia="宋体" w:hAnsi="宋体" w:cs="宋体"/>
                <w:sz w:val="24"/>
                <w:szCs w:val="24"/>
              </w:rPr>
              <w:t xml:space="preserve">路演活动 </w:t>
            </w:r>
          </w:p>
          <w:p w:rsidR="00A54DA5" w:rsidRPr="00843759" w:rsidRDefault="00E0201F"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□现场参观            □一对一沟通 </w:t>
            </w:r>
          </w:p>
          <w:p w:rsidR="00A54DA5" w:rsidRPr="00843759" w:rsidRDefault="00BE6EB3" w:rsidP="00843759">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E0201F" w:rsidRPr="00843759">
              <w:rPr>
                <w:rFonts w:ascii="宋体" w:eastAsia="宋体" w:hAnsi="宋体" w:cs="宋体"/>
                <w:sz w:val="24"/>
                <w:szCs w:val="24"/>
              </w:rPr>
              <w:t xml:space="preserve">其他  </w:t>
            </w:r>
          </w:p>
        </w:tc>
      </w:tr>
      <w:tr w:rsidR="00A54DA5" w:rsidRPr="00843759" w:rsidTr="00E105E4">
        <w:trPr>
          <w:trHeight w:val="694"/>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ind w:right="110"/>
              <w:jc w:val="center"/>
              <w:rPr>
                <w:rFonts w:ascii="宋体" w:eastAsia="宋体" w:hAnsi="宋体"/>
                <w:b/>
                <w:sz w:val="24"/>
                <w:szCs w:val="24"/>
              </w:rPr>
            </w:pPr>
            <w:r w:rsidRPr="00AE0919">
              <w:rPr>
                <w:rFonts w:ascii="宋体" w:eastAsia="宋体" w:hAnsi="宋体" w:cs="宋体"/>
                <w:b/>
                <w:color w:val="auto"/>
                <w:sz w:val="24"/>
                <w:szCs w:val="24"/>
              </w:rPr>
              <w:t>参与单位</w:t>
            </w:r>
            <w:r w:rsidR="00595828" w:rsidRPr="00AE0919">
              <w:rPr>
                <w:rFonts w:ascii="宋体" w:eastAsia="宋体" w:hAnsi="宋体" w:cs="宋体" w:hint="eastAsia"/>
                <w:b/>
                <w:color w:val="auto"/>
                <w:sz w:val="24"/>
                <w:szCs w:val="24"/>
              </w:rPr>
              <w:t>及人员</w:t>
            </w:r>
          </w:p>
        </w:tc>
        <w:tc>
          <w:tcPr>
            <w:tcW w:w="7876" w:type="dxa"/>
            <w:tcBorders>
              <w:top w:val="single" w:sz="4" w:space="0" w:color="000000"/>
              <w:left w:val="single" w:sz="4" w:space="0" w:color="000000"/>
              <w:bottom w:val="single" w:sz="4" w:space="0" w:color="000000"/>
              <w:right w:val="single" w:sz="4" w:space="0" w:color="000000"/>
            </w:tcBorders>
            <w:vAlign w:val="center"/>
          </w:tcPr>
          <w:p w:rsidR="005E6C6A" w:rsidRPr="00241C91" w:rsidRDefault="00FC581E" w:rsidP="00843759">
            <w:pPr>
              <w:snapToGrid w:val="0"/>
              <w:spacing w:after="0" w:line="360" w:lineRule="auto"/>
              <w:rPr>
                <w:rFonts w:ascii="宋体" w:eastAsia="宋体" w:hAnsi="宋体"/>
                <w:sz w:val="24"/>
                <w:szCs w:val="24"/>
              </w:rPr>
            </w:pPr>
            <w:r>
              <w:rPr>
                <w:rFonts w:ascii="宋体" w:eastAsia="宋体" w:hAnsi="宋体" w:hint="eastAsia"/>
                <w:sz w:val="24"/>
                <w:szCs w:val="24"/>
              </w:rPr>
              <w:t>华泰证券</w:t>
            </w:r>
            <w:r w:rsidR="00241C91" w:rsidRPr="00241C91">
              <w:rPr>
                <w:rFonts w:ascii="宋体" w:eastAsia="宋体" w:hAnsi="宋体" w:hint="eastAsia"/>
                <w:sz w:val="24"/>
                <w:szCs w:val="24"/>
              </w:rPr>
              <w:t xml:space="preserve"> </w:t>
            </w:r>
            <w:r w:rsidR="00241C91">
              <w:rPr>
                <w:rFonts w:ascii="宋体" w:eastAsia="宋体" w:hAnsi="宋体"/>
                <w:sz w:val="24"/>
                <w:szCs w:val="24"/>
              </w:rPr>
              <w:t xml:space="preserve"> </w:t>
            </w:r>
            <w:r w:rsidRPr="00FC581E">
              <w:rPr>
                <w:rFonts w:ascii="宋体" w:eastAsia="宋体" w:hAnsi="宋体" w:hint="eastAsia"/>
                <w:sz w:val="24"/>
                <w:szCs w:val="24"/>
              </w:rPr>
              <w:t>周云昊</w:t>
            </w:r>
            <w:r w:rsidR="00C11A14">
              <w:rPr>
                <w:rFonts w:ascii="宋体" w:eastAsia="宋体" w:hAnsi="宋体" w:hint="eastAsia"/>
                <w:sz w:val="24"/>
                <w:szCs w:val="24"/>
              </w:rPr>
              <w:t>、</w:t>
            </w:r>
            <w:r w:rsidRPr="00FC581E">
              <w:rPr>
                <w:rFonts w:ascii="宋体" w:eastAsia="宋体" w:hAnsi="宋体" w:hint="eastAsia"/>
                <w:sz w:val="24"/>
                <w:szCs w:val="24"/>
              </w:rPr>
              <w:t>徐劭楠</w:t>
            </w:r>
            <w:r w:rsidR="00C11A14">
              <w:rPr>
                <w:rFonts w:ascii="宋体" w:eastAsia="宋体" w:hAnsi="宋体" w:hint="eastAsia"/>
                <w:sz w:val="24"/>
                <w:szCs w:val="24"/>
              </w:rPr>
              <w:t>、</w:t>
            </w:r>
            <w:r w:rsidRPr="00FC581E">
              <w:rPr>
                <w:rFonts w:ascii="宋体" w:eastAsia="宋体" w:hAnsi="宋体" w:hint="eastAsia"/>
                <w:sz w:val="24"/>
                <w:szCs w:val="24"/>
              </w:rPr>
              <w:t>傅淼权</w:t>
            </w:r>
            <w:r w:rsidR="00C11A14">
              <w:rPr>
                <w:rFonts w:ascii="宋体" w:eastAsia="宋体" w:hAnsi="宋体" w:hint="eastAsia"/>
                <w:sz w:val="24"/>
                <w:szCs w:val="24"/>
              </w:rPr>
              <w:t>、</w:t>
            </w:r>
            <w:r w:rsidRPr="00FC581E">
              <w:rPr>
                <w:rFonts w:ascii="宋体" w:eastAsia="宋体" w:hAnsi="宋体" w:hint="eastAsia"/>
                <w:sz w:val="24"/>
                <w:szCs w:val="24"/>
              </w:rPr>
              <w:t>周洁</w:t>
            </w:r>
            <w:r w:rsidR="00C11A14">
              <w:rPr>
                <w:rFonts w:ascii="宋体" w:eastAsia="宋体" w:hAnsi="宋体" w:hint="eastAsia"/>
                <w:sz w:val="24"/>
                <w:szCs w:val="24"/>
              </w:rPr>
              <w:t>、</w:t>
            </w:r>
            <w:r>
              <w:rPr>
                <w:rFonts w:ascii="宋体" w:eastAsia="宋体" w:hAnsi="宋体" w:hint="eastAsia"/>
                <w:sz w:val="24"/>
                <w:szCs w:val="24"/>
              </w:rPr>
              <w:t>孙天驰</w:t>
            </w:r>
          </w:p>
          <w:p w:rsidR="007E7A95"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建银国际</w:t>
            </w:r>
            <w:r>
              <w:rPr>
                <w:rFonts w:ascii="宋体" w:eastAsia="宋体" w:hAnsi="宋体" w:hint="eastAsia"/>
                <w:sz w:val="24"/>
                <w:szCs w:val="24"/>
              </w:rPr>
              <w:t xml:space="preserve"> </w:t>
            </w:r>
            <w:r>
              <w:rPr>
                <w:rFonts w:ascii="宋体" w:eastAsia="宋体" w:hAnsi="宋体"/>
                <w:sz w:val="24"/>
                <w:szCs w:val="24"/>
              </w:rPr>
              <w:t xml:space="preserve"> </w:t>
            </w:r>
            <w:r w:rsidRPr="00FC581E">
              <w:rPr>
                <w:rFonts w:ascii="宋体" w:eastAsia="宋体" w:hAnsi="宋体" w:hint="eastAsia"/>
                <w:sz w:val="24"/>
                <w:szCs w:val="24"/>
              </w:rPr>
              <w:t>王冀</w:t>
            </w:r>
            <w:r>
              <w:rPr>
                <w:rFonts w:ascii="宋体" w:eastAsia="宋体" w:hAnsi="宋体" w:hint="eastAsia"/>
                <w:sz w:val="24"/>
                <w:szCs w:val="24"/>
              </w:rPr>
              <w:t>、葛元杰</w:t>
            </w:r>
          </w:p>
          <w:p w:rsidR="00FC581E"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安信证券</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陈弘</w:t>
            </w:r>
            <w:r w:rsidRPr="00FC581E">
              <w:rPr>
                <w:rFonts w:ascii="宋体" w:eastAsia="宋体" w:hAnsi="宋体" w:hint="eastAsia"/>
                <w:sz w:val="24"/>
                <w:szCs w:val="24"/>
              </w:rPr>
              <w:t>涛</w:t>
            </w:r>
          </w:p>
          <w:p w:rsidR="00FC581E"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兴证资管</w:t>
            </w:r>
            <w:r>
              <w:rPr>
                <w:rFonts w:ascii="宋体" w:eastAsia="宋体" w:hAnsi="宋体" w:hint="eastAsia"/>
                <w:sz w:val="24"/>
                <w:szCs w:val="24"/>
              </w:rPr>
              <w:t xml:space="preserve">  </w:t>
            </w:r>
            <w:r w:rsidRPr="00FC581E">
              <w:rPr>
                <w:rFonts w:ascii="宋体" w:eastAsia="宋体" w:hAnsi="宋体" w:hint="eastAsia"/>
                <w:sz w:val="24"/>
                <w:szCs w:val="24"/>
              </w:rPr>
              <w:t>牟卿</w:t>
            </w:r>
          </w:p>
          <w:p w:rsidR="00FC581E"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太平国发</w:t>
            </w:r>
            <w:r>
              <w:rPr>
                <w:rFonts w:ascii="宋体" w:eastAsia="宋体" w:hAnsi="宋体" w:hint="eastAsia"/>
                <w:sz w:val="24"/>
                <w:szCs w:val="24"/>
              </w:rPr>
              <w:t xml:space="preserve">  </w:t>
            </w:r>
            <w:r w:rsidRPr="00FC581E">
              <w:rPr>
                <w:rFonts w:ascii="宋体" w:eastAsia="宋体" w:hAnsi="宋体" w:hint="eastAsia"/>
                <w:sz w:val="24"/>
                <w:szCs w:val="24"/>
              </w:rPr>
              <w:t>陈勇</w:t>
            </w:r>
          </w:p>
          <w:p w:rsidR="00FC581E"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小米产投</w:t>
            </w:r>
            <w:r>
              <w:rPr>
                <w:rFonts w:ascii="宋体" w:eastAsia="宋体" w:hAnsi="宋体" w:hint="eastAsia"/>
                <w:sz w:val="24"/>
                <w:szCs w:val="24"/>
              </w:rPr>
              <w:t xml:space="preserve">  </w:t>
            </w:r>
            <w:r w:rsidRPr="00FC581E">
              <w:rPr>
                <w:rFonts w:ascii="宋体" w:eastAsia="宋体" w:hAnsi="宋体" w:hint="eastAsia"/>
                <w:sz w:val="24"/>
                <w:szCs w:val="24"/>
              </w:rPr>
              <w:t>曹佳</w:t>
            </w:r>
          </w:p>
          <w:p w:rsidR="00FC581E"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北汽产投</w:t>
            </w:r>
            <w:r>
              <w:rPr>
                <w:rFonts w:ascii="宋体" w:eastAsia="宋体" w:hAnsi="宋体" w:hint="eastAsia"/>
                <w:sz w:val="24"/>
                <w:szCs w:val="24"/>
              </w:rPr>
              <w:t xml:space="preserve">  邱日尧、</w:t>
            </w:r>
            <w:r w:rsidRPr="00FC581E">
              <w:rPr>
                <w:rFonts w:ascii="宋体" w:eastAsia="宋体" w:hAnsi="宋体" w:hint="eastAsia"/>
                <w:sz w:val="24"/>
                <w:szCs w:val="24"/>
              </w:rPr>
              <w:t>赵新新</w:t>
            </w:r>
            <w:r>
              <w:rPr>
                <w:rFonts w:ascii="宋体" w:eastAsia="宋体" w:hAnsi="宋体" w:hint="eastAsia"/>
                <w:sz w:val="24"/>
                <w:szCs w:val="24"/>
              </w:rPr>
              <w:t>、</w:t>
            </w:r>
            <w:r w:rsidRPr="00FC581E">
              <w:rPr>
                <w:rFonts w:ascii="宋体" w:eastAsia="宋体" w:hAnsi="宋体" w:hint="eastAsia"/>
                <w:sz w:val="24"/>
                <w:szCs w:val="24"/>
              </w:rPr>
              <w:t>尹晴岚</w:t>
            </w:r>
          </w:p>
          <w:p w:rsidR="00FC581E"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君和资本</w:t>
            </w:r>
            <w:r>
              <w:rPr>
                <w:rFonts w:ascii="宋体" w:eastAsia="宋体" w:hAnsi="宋体" w:hint="eastAsia"/>
                <w:sz w:val="24"/>
                <w:szCs w:val="24"/>
              </w:rPr>
              <w:t xml:space="preserve">  郭宣宏</w:t>
            </w:r>
          </w:p>
          <w:p w:rsidR="00FC581E" w:rsidRDefault="00FC581E" w:rsidP="00FC581E">
            <w:pPr>
              <w:snapToGrid w:val="0"/>
              <w:spacing w:after="0" w:line="360" w:lineRule="auto"/>
              <w:rPr>
                <w:rFonts w:ascii="宋体" w:eastAsia="宋体" w:hAnsi="宋体"/>
                <w:sz w:val="24"/>
                <w:szCs w:val="24"/>
              </w:rPr>
            </w:pPr>
            <w:r>
              <w:rPr>
                <w:rFonts w:ascii="宋体" w:eastAsia="宋体" w:hAnsi="宋体" w:hint="eastAsia"/>
                <w:sz w:val="24"/>
                <w:szCs w:val="24"/>
              </w:rPr>
              <w:t>大众交通  马俊华</w:t>
            </w:r>
          </w:p>
          <w:p w:rsidR="00FC581E"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创金合信基金</w:t>
            </w:r>
            <w:r>
              <w:rPr>
                <w:rFonts w:ascii="宋体" w:eastAsia="宋体" w:hAnsi="宋体" w:hint="eastAsia"/>
                <w:sz w:val="24"/>
                <w:szCs w:val="24"/>
              </w:rPr>
              <w:t xml:space="preserve">  </w:t>
            </w:r>
            <w:r w:rsidRPr="00FC581E">
              <w:rPr>
                <w:rFonts w:ascii="宋体" w:eastAsia="宋体" w:hAnsi="宋体" w:hint="eastAsia"/>
                <w:sz w:val="24"/>
                <w:szCs w:val="24"/>
              </w:rPr>
              <w:t>吕庚</w:t>
            </w:r>
          </w:p>
          <w:p w:rsidR="00FC581E" w:rsidRDefault="00FC581E" w:rsidP="00FC581E">
            <w:pPr>
              <w:snapToGrid w:val="0"/>
              <w:spacing w:after="0" w:line="360" w:lineRule="auto"/>
              <w:rPr>
                <w:rFonts w:ascii="宋体" w:eastAsia="宋体" w:hAnsi="宋体"/>
                <w:sz w:val="24"/>
                <w:szCs w:val="24"/>
              </w:rPr>
            </w:pPr>
            <w:r w:rsidRPr="00FC581E">
              <w:rPr>
                <w:rFonts w:ascii="宋体" w:eastAsia="宋体" w:hAnsi="宋体" w:hint="eastAsia"/>
                <w:sz w:val="24"/>
                <w:szCs w:val="24"/>
              </w:rPr>
              <w:t>第一创业证券</w:t>
            </w:r>
            <w:r>
              <w:rPr>
                <w:rFonts w:ascii="宋体" w:eastAsia="宋体" w:hAnsi="宋体" w:hint="eastAsia"/>
                <w:sz w:val="24"/>
                <w:szCs w:val="24"/>
              </w:rPr>
              <w:t xml:space="preserve">  </w:t>
            </w:r>
            <w:r w:rsidRPr="00FC581E">
              <w:rPr>
                <w:rFonts w:ascii="宋体" w:eastAsia="宋体" w:hAnsi="宋体" w:hint="eastAsia"/>
                <w:sz w:val="24"/>
                <w:szCs w:val="24"/>
              </w:rPr>
              <w:t>陈晓玻</w:t>
            </w:r>
          </w:p>
          <w:p w:rsidR="00FC581E" w:rsidRPr="00FC581E" w:rsidRDefault="00FC581E" w:rsidP="00FC581E">
            <w:pPr>
              <w:snapToGrid w:val="0"/>
              <w:spacing w:after="0" w:line="360" w:lineRule="auto"/>
              <w:rPr>
                <w:rFonts w:ascii="宋体" w:eastAsia="宋体" w:hAnsi="宋体"/>
                <w:sz w:val="24"/>
                <w:szCs w:val="24"/>
              </w:rPr>
            </w:pPr>
            <w:r>
              <w:rPr>
                <w:rFonts w:ascii="宋体" w:eastAsia="宋体" w:hAnsi="宋体" w:hint="eastAsia"/>
                <w:sz w:val="24"/>
                <w:szCs w:val="24"/>
              </w:rPr>
              <w:t xml:space="preserve">诚通基金  韩旭、刘嘉彰  </w:t>
            </w:r>
          </w:p>
        </w:tc>
      </w:tr>
      <w:tr w:rsidR="00A54DA5" w:rsidRPr="00843759" w:rsidTr="00E105E4">
        <w:trPr>
          <w:trHeight w:val="552"/>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时间</w:t>
            </w:r>
          </w:p>
        </w:tc>
        <w:tc>
          <w:tcPr>
            <w:tcW w:w="7876" w:type="dxa"/>
            <w:tcBorders>
              <w:top w:val="single" w:sz="4" w:space="0" w:color="000000"/>
              <w:left w:val="single" w:sz="4" w:space="0" w:color="000000"/>
              <w:bottom w:val="single" w:sz="4" w:space="0" w:color="000000"/>
              <w:right w:val="single" w:sz="4" w:space="0" w:color="000000"/>
            </w:tcBorders>
            <w:vAlign w:val="bottom"/>
          </w:tcPr>
          <w:p w:rsidR="00A54DA5" w:rsidRPr="00843759" w:rsidRDefault="00843759"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2</w:t>
            </w:r>
            <w:r w:rsidR="00137002">
              <w:rPr>
                <w:rFonts w:ascii="宋体" w:eastAsia="宋体" w:hAnsi="宋体"/>
                <w:sz w:val="24"/>
                <w:szCs w:val="24"/>
              </w:rPr>
              <w:t>0</w:t>
            </w:r>
            <w:r w:rsidR="00137002">
              <w:rPr>
                <w:rFonts w:ascii="宋体" w:eastAsia="宋体" w:hAnsi="宋体" w:hint="eastAsia"/>
                <w:sz w:val="24"/>
                <w:szCs w:val="24"/>
              </w:rPr>
              <w:t>20</w:t>
            </w:r>
            <w:r w:rsidRPr="00843759">
              <w:rPr>
                <w:rFonts w:ascii="宋体" w:eastAsia="宋体" w:hAnsi="宋体" w:hint="eastAsia"/>
                <w:sz w:val="24"/>
                <w:szCs w:val="24"/>
              </w:rPr>
              <w:t>年</w:t>
            </w:r>
            <w:r w:rsidR="00137002">
              <w:rPr>
                <w:rFonts w:ascii="宋体" w:eastAsia="宋体" w:hAnsi="宋体" w:hint="eastAsia"/>
                <w:sz w:val="24"/>
                <w:szCs w:val="24"/>
              </w:rPr>
              <w:t>6</w:t>
            </w:r>
            <w:r>
              <w:rPr>
                <w:rFonts w:ascii="宋体" w:eastAsia="宋体" w:hAnsi="宋体" w:hint="eastAsia"/>
                <w:sz w:val="24"/>
                <w:szCs w:val="24"/>
              </w:rPr>
              <w:t>月</w:t>
            </w:r>
            <w:r w:rsidR="00137002">
              <w:rPr>
                <w:rFonts w:ascii="宋体" w:eastAsia="宋体" w:hAnsi="宋体" w:hint="eastAsia"/>
                <w:sz w:val="24"/>
                <w:szCs w:val="24"/>
              </w:rPr>
              <w:t>9</w:t>
            </w:r>
            <w:r>
              <w:rPr>
                <w:rFonts w:ascii="宋体" w:eastAsia="宋体" w:hAnsi="宋体" w:hint="eastAsia"/>
                <w:sz w:val="24"/>
                <w:szCs w:val="24"/>
              </w:rPr>
              <w:t>日</w:t>
            </w:r>
          </w:p>
        </w:tc>
      </w:tr>
      <w:tr w:rsidR="00A54DA5"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876" w:type="dxa"/>
            <w:tcBorders>
              <w:top w:val="single" w:sz="4" w:space="0" w:color="000000"/>
              <w:left w:val="single" w:sz="4" w:space="0" w:color="000000"/>
              <w:bottom w:val="single" w:sz="4" w:space="0" w:color="000000"/>
              <w:right w:val="single" w:sz="4" w:space="0" w:color="000000"/>
            </w:tcBorders>
            <w:vAlign w:val="bottom"/>
          </w:tcPr>
          <w:p w:rsidR="00A54DA5" w:rsidRPr="00843759" w:rsidRDefault="00595828" w:rsidP="00843759">
            <w:pPr>
              <w:snapToGrid w:val="0"/>
              <w:spacing w:after="0" w:line="360" w:lineRule="auto"/>
              <w:rPr>
                <w:rFonts w:ascii="宋体" w:eastAsia="宋体" w:hAnsi="宋体"/>
                <w:sz w:val="24"/>
                <w:szCs w:val="24"/>
              </w:rPr>
            </w:pPr>
            <w:r w:rsidRPr="00843759">
              <w:rPr>
                <w:rFonts w:ascii="宋体" w:eastAsia="宋体" w:hAnsi="宋体" w:hint="eastAsia"/>
                <w:sz w:val="24"/>
                <w:szCs w:val="24"/>
              </w:rPr>
              <w:t>公司会议室</w:t>
            </w:r>
          </w:p>
        </w:tc>
      </w:tr>
      <w:tr w:rsidR="00A54DA5"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A54DA5" w:rsidRPr="00843759" w:rsidRDefault="00E0201F" w:rsidP="00843759">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876" w:type="dxa"/>
            <w:tcBorders>
              <w:top w:val="single" w:sz="4" w:space="0" w:color="000000"/>
              <w:left w:val="single" w:sz="4" w:space="0" w:color="000000"/>
              <w:bottom w:val="single" w:sz="4" w:space="0" w:color="000000"/>
              <w:right w:val="single" w:sz="4" w:space="0" w:color="000000"/>
            </w:tcBorders>
            <w:vAlign w:val="bottom"/>
          </w:tcPr>
          <w:p w:rsidR="00832CF2" w:rsidRDefault="00832CF2" w:rsidP="00843759">
            <w:pPr>
              <w:snapToGrid w:val="0"/>
              <w:spacing w:after="0" w:line="360" w:lineRule="auto"/>
              <w:rPr>
                <w:rFonts w:ascii="宋体" w:eastAsia="宋体" w:hAnsi="宋体"/>
                <w:sz w:val="24"/>
                <w:szCs w:val="24"/>
              </w:rPr>
            </w:pPr>
            <w:r>
              <w:rPr>
                <w:rFonts w:ascii="宋体" w:eastAsia="宋体" w:hAnsi="宋体" w:hint="eastAsia"/>
                <w:sz w:val="24"/>
                <w:szCs w:val="24"/>
              </w:rPr>
              <w:t>董事长、总经理：陈文源</w:t>
            </w:r>
          </w:p>
          <w:p w:rsidR="00C11A14" w:rsidRDefault="00137002" w:rsidP="00080F84">
            <w:pPr>
              <w:snapToGrid w:val="0"/>
              <w:spacing w:after="0" w:line="360" w:lineRule="auto"/>
              <w:rPr>
                <w:rFonts w:ascii="宋体" w:eastAsia="宋体" w:hAnsi="宋体"/>
                <w:sz w:val="24"/>
                <w:szCs w:val="24"/>
              </w:rPr>
            </w:pPr>
            <w:r>
              <w:rPr>
                <w:rFonts w:ascii="宋体" w:eastAsia="宋体" w:hAnsi="宋体" w:hint="eastAsia"/>
                <w:sz w:val="24"/>
                <w:szCs w:val="24"/>
              </w:rPr>
              <w:t>董事会秘书、财务总监</w:t>
            </w:r>
            <w:r w:rsidR="00C11A14">
              <w:rPr>
                <w:rFonts w:ascii="宋体" w:eastAsia="宋体" w:hAnsi="宋体" w:hint="eastAsia"/>
                <w:sz w:val="24"/>
                <w:szCs w:val="24"/>
              </w:rPr>
              <w:t>：</w:t>
            </w:r>
            <w:r>
              <w:rPr>
                <w:rFonts w:ascii="宋体" w:eastAsia="宋体" w:hAnsi="宋体" w:hint="eastAsia"/>
                <w:sz w:val="24"/>
                <w:szCs w:val="24"/>
              </w:rPr>
              <w:t>蒋瑞翔</w:t>
            </w:r>
          </w:p>
          <w:p w:rsidR="00080F84" w:rsidRDefault="00080F84" w:rsidP="00080F84">
            <w:pPr>
              <w:snapToGrid w:val="0"/>
              <w:spacing w:after="0" w:line="360" w:lineRule="auto"/>
              <w:rPr>
                <w:rFonts w:ascii="宋体" w:eastAsia="宋体" w:hAnsi="宋体"/>
                <w:sz w:val="24"/>
                <w:szCs w:val="24"/>
              </w:rPr>
            </w:pPr>
            <w:r>
              <w:rPr>
                <w:rFonts w:ascii="宋体" w:eastAsia="宋体" w:hAnsi="宋体" w:hint="eastAsia"/>
                <w:sz w:val="24"/>
                <w:szCs w:val="24"/>
              </w:rPr>
              <w:t>证券事务代表：王宏伟</w:t>
            </w:r>
          </w:p>
          <w:p w:rsidR="001A6EF3" w:rsidRPr="00843759" w:rsidRDefault="00080F84" w:rsidP="00080F84">
            <w:pPr>
              <w:snapToGrid w:val="0"/>
              <w:spacing w:after="0" w:line="360" w:lineRule="auto"/>
              <w:rPr>
                <w:rFonts w:ascii="宋体" w:eastAsia="宋体" w:hAnsi="宋体"/>
                <w:sz w:val="24"/>
                <w:szCs w:val="24"/>
              </w:rPr>
            </w:pPr>
            <w:r>
              <w:rPr>
                <w:rFonts w:ascii="宋体" w:eastAsia="宋体" w:hAnsi="宋体" w:hint="eastAsia"/>
                <w:sz w:val="24"/>
                <w:szCs w:val="24"/>
              </w:rPr>
              <w:t>证券专员：任艺男</w:t>
            </w:r>
          </w:p>
        </w:tc>
      </w:tr>
      <w:tr w:rsidR="00595828"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595828" w:rsidRPr="00843759" w:rsidRDefault="00595828" w:rsidP="00843759">
            <w:pPr>
              <w:snapToGrid w:val="0"/>
              <w:spacing w:after="0" w:line="360" w:lineRule="auto"/>
              <w:ind w:right="110"/>
              <w:jc w:val="center"/>
              <w:rPr>
                <w:rFonts w:ascii="宋体" w:eastAsia="宋体" w:hAnsi="宋体" w:cs="宋体"/>
                <w:b/>
                <w:sz w:val="24"/>
                <w:szCs w:val="24"/>
              </w:rPr>
            </w:pPr>
            <w:r w:rsidRPr="00843759">
              <w:rPr>
                <w:rFonts w:ascii="宋体" w:eastAsia="宋体" w:hAnsi="宋体" w:cs="宋体"/>
                <w:b/>
                <w:sz w:val="24"/>
                <w:szCs w:val="24"/>
              </w:rPr>
              <w:lastRenderedPageBreak/>
              <w:t>投资者关系活动主要内容介绍</w:t>
            </w:r>
          </w:p>
        </w:tc>
        <w:tc>
          <w:tcPr>
            <w:tcW w:w="7876" w:type="dxa"/>
            <w:tcBorders>
              <w:top w:val="single" w:sz="4" w:space="0" w:color="000000"/>
              <w:left w:val="single" w:sz="4" w:space="0" w:color="000000"/>
              <w:bottom w:val="single" w:sz="4" w:space="0" w:color="000000"/>
              <w:right w:val="single" w:sz="4" w:space="0" w:color="000000"/>
            </w:tcBorders>
            <w:vAlign w:val="bottom"/>
          </w:tcPr>
          <w:p w:rsidR="00E105E4" w:rsidRPr="00C07CA3" w:rsidRDefault="00E105E4" w:rsidP="00843759">
            <w:pPr>
              <w:snapToGrid w:val="0"/>
              <w:spacing w:after="0" w:line="360" w:lineRule="auto"/>
              <w:rPr>
                <w:rFonts w:ascii="宋体" w:eastAsia="宋体" w:hAnsi="宋体" w:cs="宋体"/>
                <w:b/>
                <w:sz w:val="24"/>
                <w:szCs w:val="24"/>
              </w:rPr>
            </w:pPr>
            <w:r w:rsidRPr="00C07CA3">
              <w:rPr>
                <w:rFonts w:ascii="宋体" w:eastAsia="宋体" w:hAnsi="宋体" w:cs="宋体" w:hint="eastAsia"/>
                <w:b/>
                <w:sz w:val="24"/>
                <w:szCs w:val="24"/>
              </w:rPr>
              <w:t>第一部分、</w:t>
            </w:r>
            <w:r w:rsidR="001C3134" w:rsidRPr="00C07CA3">
              <w:rPr>
                <w:rFonts w:ascii="宋体" w:eastAsia="宋体" w:hAnsi="宋体" w:cs="宋体" w:hint="eastAsia"/>
                <w:b/>
                <w:sz w:val="24"/>
                <w:szCs w:val="24"/>
              </w:rPr>
              <w:t>参观公司</w:t>
            </w:r>
            <w:r w:rsidR="00451E98">
              <w:rPr>
                <w:rFonts w:ascii="宋体" w:eastAsia="宋体" w:hAnsi="宋体" w:cs="宋体" w:hint="eastAsia"/>
                <w:b/>
                <w:sz w:val="24"/>
                <w:szCs w:val="24"/>
              </w:rPr>
              <w:t>总部</w:t>
            </w:r>
            <w:r w:rsidR="00710851" w:rsidRPr="00C07CA3">
              <w:rPr>
                <w:rFonts w:ascii="宋体" w:eastAsia="宋体" w:hAnsi="宋体" w:cs="宋体" w:hint="eastAsia"/>
                <w:b/>
                <w:sz w:val="24"/>
                <w:szCs w:val="24"/>
              </w:rPr>
              <w:t>，介绍公司</w:t>
            </w:r>
            <w:r w:rsidR="007D7260">
              <w:rPr>
                <w:rFonts w:ascii="宋体" w:eastAsia="宋体" w:hAnsi="宋体" w:cs="宋体" w:hint="eastAsia"/>
                <w:b/>
                <w:sz w:val="24"/>
                <w:szCs w:val="24"/>
              </w:rPr>
              <w:t>、标的公司及交易、募集配套资金</w:t>
            </w:r>
            <w:r w:rsidR="00710851" w:rsidRPr="00C07CA3">
              <w:rPr>
                <w:rFonts w:ascii="宋体" w:eastAsia="宋体" w:hAnsi="宋体" w:cs="宋体" w:hint="eastAsia"/>
                <w:b/>
                <w:sz w:val="24"/>
                <w:szCs w:val="24"/>
              </w:rPr>
              <w:t>基本</w:t>
            </w:r>
            <w:r w:rsidR="00451E98">
              <w:rPr>
                <w:rFonts w:ascii="宋体" w:eastAsia="宋体" w:hAnsi="宋体" w:cs="宋体" w:hint="eastAsia"/>
                <w:b/>
                <w:sz w:val="24"/>
                <w:szCs w:val="24"/>
              </w:rPr>
              <w:t>情况</w:t>
            </w:r>
          </w:p>
          <w:p w:rsidR="00710851" w:rsidRDefault="00A279C3" w:rsidP="00843759">
            <w:pPr>
              <w:snapToGrid w:val="0"/>
              <w:spacing w:after="0" w:line="360" w:lineRule="auto"/>
              <w:rPr>
                <w:rFonts w:ascii="宋体" w:eastAsia="宋体" w:hAnsi="宋体" w:cs="宋体"/>
                <w:sz w:val="24"/>
                <w:szCs w:val="24"/>
              </w:rPr>
            </w:pPr>
            <w:r>
              <w:rPr>
                <w:rFonts w:ascii="宋体" w:eastAsia="宋体" w:hAnsi="宋体" w:cs="宋体" w:hint="eastAsia"/>
                <w:sz w:val="24"/>
                <w:szCs w:val="24"/>
              </w:rPr>
              <w:t>华兴源创董事长陈文源先生展示讲解了苏州总部</w:t>
            </w:r>
            <w:r w:rsidR="007D7260">
              <w:rPr>
                <w:rFonts w:ascii="宋体" w:eastAsia="宋体" w:hAnsi="宋体" w:cs="宋体" w:hint="eastAsia"/>
                <w:sz w:val="24"/>
                <w:szCs w:val="24"/>
              </w:rPr>
              <w:t>概况</w:t>
            </w:r>
            <w:r w:rsidR="00451E98">
              <w:rPr>
                <w:rFonts w:ascii="宋体" w:eastAsia="宋体" w:hAnsi="宋体" w:cs="宋体" w:hint="eastAsia"/>
                <w:sz w:val="24"/>
                <w:szCs w:val="24"/>
              </w:rPr>
              <w:t>，</w:t>
            </w:r>
            <w:r w:rsidR="005C293E">
              <w:rPr>
                <w:rFonts w:ascii="宋体" w:eastAsia="宋体" w:hAnsi="宋体" w:cs="宋体" w:hint="eastAsia"/>
                <w:sz w:val="24"/>
                <w:szCs w:val="24"/>
              </w:rPr>
              <w:t>参观了公司样品展示区</w:t>
            </w:r>
            <w:r w:rsidR="00451E98">
              <w:rPr>
                <w:rFonts w:ascii="宋体" w:eastAsia="宋体" w:hAnsi="宋体" w:cs="宋体" w:hint="eastAsia"/>
                <w:sz w:val="24"/>
                <w:szCs w:val="24"/>
              </w:rPr>
              <w:t>，介绍</w:t>
            </w:r>
            <w:r w:rsidR="005C293E">
              <w:rPr>
                <w:rFonts w:ascii="宋体" w:eastAsia="宋体" w:hAnsi="宋体" w:cs="宋体" w:hint="eastAsia"/>
                <w:sz w:val="24"/>
                <w:szCs w:val="24"/>
              </w:rPr>
              <w:t>各事业部布局、合作客户、资源投入情况和公司一路走来的发展历程</w:t>
            </w:r>
            <w:r>
              <w:rPr>
                <w:rFonts w:ascii="宋体" w:eastAsia="宋体" w:hAnsi="宋体" w:cs="宋体" w:hint="eastAsia"/>
                <w:sz w:val="24"/>
                <w:szCs w:val="24"/>
              </w:rPr>
              <w:t>，以及产品</w:t>
            </w:r>
            <w:r w:rsidR="00385C85">
              <w:rPr>
                <w:rFonts w:ascii="宋体" w:eastAsia="宋体" w:hAnsi="宋体" w:cs="宋体" w:hint="eastAsia"/>
                <w:sz w:val="24"/>
                <w:szCs w:val="24"/>
              </w:rPr>
              <w:t>产线运作情况。</w:t>
            </w:r>
          </w:p>
          <w:p w:rsidR="00D73B6E" w:rsidRDefault="00D73B6E" w:rsidP="00D73B6E">
            <w:pPr>
              <w:snapToGrid w:val="0"/>
              <w:spacing w:after="0" w:line="360" w:lineRule="auto"/>
              <w:rPr>
                <w:rFonts w:ascii="宋体" w:eastAsia="宋体" w:hAnsi="宋体" w:cs="宋体"/>
                <w:sz w:val="24"/>
                <w:szCs w:val="24"/>
              </w:rPr>
            </w:pPr>
            <w:r w:rsidRPr="008A3216">
              <w:rPr>
                <w:rFonts w:ascii="宋体" w:eastAsia="宋体" w:hAnsi="宋体" w:cs="宋体" w:hint="eastAsia"/>
                <w:sz w:val="24"/>
                <w:szCs w:val="24"/>
              </w:rPr>
              <w:t>华兴源创是国内领先的检测设备与整线检测系统解决方案提供商，主要从事平板显示及集成电路的检测设备研发、生产和销售，公司主要产品应用于</w:t>
            </w:r>
            <w:r w:rsidRPr="008A3216">
              <w:rPr>
                <w:rFonts w:ascii="宋体" w:eastAsia="宋体" w:hAnsi="宋体" w:cs="宋体"/>
                <w:sz w:val="24"/>
                <w:szCs w:val="24"/>
              </w:rPr>
              <w:t>LCD</w:t>
            </w:r>
            <w:r w:rsidRPr="008A3216">
              <w:rPr>
                <w:rFonts w:ascii="宋体" w:eastAsia="宋体" w:hAnsi="宋体" w:cs="宋体" w:hint="eastAsia"/>
                <w:sz w:val="24"/>
                <w:szCs w:val="24"/>
              </w:rPr>
              <w:t>与</w:t>
            </w:r>
            <w:r w:rsidRPr="008A3216">
              <w:rPr>
                <w:rFonts w:ascii="宋体" w:eastAsia="宋体" w:hAnsi="宋体" w:cs="宋体"/>
                <w:sz w:val="24"/>
                <w:szCs w:val="24"/>
              </w:rPr>
              <w:t>OLED</w:t>
            </w:r>
            <w:r w:rsidRPr="008A3216">
              <w:rPr>
                <w:rFonts w:ascii="宋体" w:eastAsia="宋体" w:hAnsi="宋体" w:cs="宋体" w:hint="eastAsia"/>
                <w:sz w:val="24"/>
                <w:szCs w:val="24"/>
              </w:rPr>
              <w:t>平板显示、集成电路、汽车电子等行业。</w:t>
            </w:r>
          </w:p>
          <w:p w:rsidR="007D7260" w:rsidRPr="007D7260" w:rsidRDefault="007D7260" w:rsidP="007D7260">
            <w:pPr>
              <w:snapToGrid w:val="0"/>
              <w:spacing w:after="0" w:line="360" w:lineRule="auto"/>
              <w:rPr>
                <w:rFonts w:ascii="宋体" w:eastAsia="宋体" w:hAnsi="宋体" w:cs="宋体"/>
                <w:sz w:val="24"/>
                <w:szCs w:val="24"/>
              </w:rPr>
            </w:pPr>
            <w:r w:rsidRPr="007D7260">
              <w:rPr>
                <w:rFonts w:ascii="宋体" w:eastAsia="宋体" w:hAnsi="宋体" w:cs="宋体" w:hint="eastAsia"/>
                <w:sz w:val="24"/>
                <w:szCs w:val="24"/>
              </w:rPr>
              <w:t>标的公司致力于为客户提供各类</w:t>
            </w:r>
            <w:r w:rsidRPr="007D7260">
              <w:rPr>
                <w:rFonts w:ascii="宋体" w:eastAsia="宋体" w:hAnsi="宋体" w:cs="宋体" w:hint="eastAsia"/>
                <w:bCs/>
                <w:sz w:val="24"/>
                <w:szCs w:val="24"/>
              </w:rPr>
              <w:t>自动化智能组装、测试设备</w:t>
            </w:r>
            <w:r w:rsidRPr="007D7260">
              <w:rPr>
                <w:rFonts w:ascii="宋体" w:eastAsia="宋体" w:hAnsi="宋体" w:cs="宋体" w:hint="eastAsia"/>
                <w:sz w:val="24"/>
                <w:szCs w:val="24"/>
              </w:rPr>
              <w:t>，标的公司产品可广泛应用于以可穿戴产品（如智能手表、无线耳机等）为代表的消费电子行业，</w:t>
            </w:r>
            <w:r w:rsidRPr="007D7260">
              <w:rPr>
                <w:rFonts w:ascii="宋体" w:eastAsia="宋体" w:hAnsi="宋体" w:cs="宋体" w:hint="eastAsia"/>
                <w:bCs/>
                <w:sz w:val="24"/>
                <w:szCs w:val="24"/>
              </w:rPr>
              <w:t>主要用于智能手表等消费电子终端的组装和测试环节</w:t>
            </w:r>
            <w:r w:rsidRPr="007D7260">
              <w:rPr>
                <w:rFonts w:ascii="宋体" w:eastAsia="宋体" w:hAnsi="宋体" w:cs="宋体" w:hint="eastAsia"/>
                <w:sz w:val="24"/>
                <w:szCs w:val="24"/>
              </w:rPr>
              <w:t>。经过多年的研发和业务积累，标的公司已经进入国际知名消费电子品牌厂商苹果公司等供应链体系，与广达、仁宝、立讯等大型电子厂商建立合作关系，并正在积极拓展新的优质客户群。</w:t>
            </w:r>
          </w:p>
          <w:p w:rsidR="007D7260" w:rsidRPr="007D7260" w:rsidRDefault="007D7260" w:rsidP="007D7260">
            <w:pPr>
              <w:snapToGrid w:val="0"/>
              <w:spacing w:after="0" w:line="360" w:lineRule="auto"/>
              <w:rPr>
                <w:rFonts w:ascii="宋体" w:eastAsia="宋体" w:hAnsi="宋体" w:cs="宋体"/>
                <w:sz w:val="24"/>
                <w:szCs w:val="24"/>
              </w:rPr>
            </w:pPr>
            <w:r w:rsidRPr="007D7260">
              <w:rPr>
                <w:rFonts w:ascii="宋体" w:eastAsia="宋体" w:hAnsi="宋体" w:cs="宋体" w:hint="eastAsia"/>
                <w:sz w:val="24"/>
                <w:szCs w:val="24"/>
              </w:rPr>
              <w:t>本次交易拟购买资产的交易价格为</w:t>
            </w:r>
            <w:r w:rsidRPr="007D7260">
              <w:rPr>
                <w:rFonts w:ascii="宋体" w:eastAsia="宋体" w:hAnsi="宋体" w:cs="宋体"/>
                <w:bCs/>
                <w:sz w:val="24"/>
                <w:szCs w:val="24"/>
              </w:rPr>
              <w:t>104,000</w:t>
            </w:r>
            <w:r w:rsidRPr="007D7260">
              <w:rPr>
                <w:rFonts w:ascii="宋体" w:eastAsia="宋体" w:hAnsi="宋体" w:cs="宋体" w:hint="eastAsia"/>
                <w:bCs/>
                <w:sz w:val="24"/>
                <w:szCs w:val="24"/>
              </w:rPr>
              <w:t>万元</w:t>
            </w:r>
            <w:r w:rsidRPr="007D7260">
              <w:rPr>
                <w:rFonts w:ascii="宋体" w:eastAsia="宋体" w:hAnsi="宋体" w:cs="宋体" w:hint="eastAsia"/>
                <w:sz w:val="24"/>
                <w:szCs w:val="24"/>
              </w:rPr>
              <w:t>，其中以发行股份的方式支付交易对价的</w:t>
            </w:r>
            <w:r w:rsidRPr="007D7260">
              <w:rPr>
                <w:rFonts w:ascii="宋体" w:eastAsia="宋体" w:hAnsi="宋体" w:cs="宋体"/>
                <w:bCs/>
                <w:sz w:val="24"/>
                <w:szCs w:val="24"/>
              </w:rPr>
              <w:t>70%</w:t>
            </w:r>
            <w:r w:rsidRPr="007D7260">
              <w:rPr>
                <w:rFonts w:ascii="宋体" w:eastAsia="宋体" w:hAnsi="宋体" w:cs="宋体" w:hint="eastAsia"/>
                <w:sz w:val="24"/>
                <w:szCs w:val="24"/>
              </w:rPr>
              <w:t>，即</w:t>
            </w:r>
            <w:r w:rsidRPr="007D7260">
              <w:rPr>
                <w:rFonts w:ascii="宋体" w:eastAsia="宋体" w:hAnsi="宋体" w:cs="宋体"/>
                <w:sz w:val="24"/>
                <w:szCs w:val="24"/>
              </w:rPr>
              <w:t>72,800</w:t>
            </w:r>
            <w:r w:rsidRPr="007D7260">
              <w:rPr>
                <w:rFonts w:ascii="宋体" w:eastAsia="宋体" w:hAnsi="宋体" w:cs="宋体" w:hint="eastAsia"/>
                <w:sz w:val="24"/>
                <w:szCs w:val="24"/>
              </w:rPr>
              <w:t>万元，以现金方式支付交易对价的</w:t>
            </w:r>
            <w:r w:rsidRPr="007D7260">
              <w:rPr>
                <w:rFonts w:ascii="宋体" w:eastAsia="宋体" w:hAnsi="宋体" w:cs="宋体"/>
                <w:bCs/>
                <w:sz w:val="24"/>
                <w:szCs w:val="24"/>
              </w:rPr>
              <w:t>30%</w:t>
            </w:r>
            <w:r w:rsidRPr="007D7260">
              <w:rPr>
                <w:rFonts w:ascii="宋体" w:eastAsia="宋体" w:hAnsi="宋体" w:cs="宋体" w:hint="eastAsia"/>
                <w:sz w:val="24"/>
                <w:szCs w:val="24"/>
              </w:rPr>
              <w:t>，即</w:t>
            </w:r>
            <w:r w:rsidRPr="007D7260">
              <w:rPr>
                <w:rFonts w:ascii="宋体" w:eastAsia="宋体" w:hAnsi="宋体" w:cs="宋体"/>
                <w:sz w:val="24"/>
                <w:szCs w:val="24"/>
              </w:rPr>
              <w:t>31,200</w:t>
            </w:r>
            <w:r w:rsidRPr="007D7260">
              <w:rPr>
                <w:rFonts w:ascii="宋体" w:eastAsia="宋体" w:hAnsi="宋体" w:cs="宋体" w:hint="eastAsia"/>
                <w:sz w:val="24"/>
                <w:szCs w:val="24"/>
              </w:rPr>
              <w:t>万元。</w:t>
            </w:r>
          </w:p>
          <w:p w:rsidR="007D7260" w:rsidRPr="007D7260" w:rsidRDefault="007D7260" w:rsidP="00D73B6E">
            <w:pPr>
              <w:snapToGrid w:val="0"/>
              <w:spacing w:after="0" w:line="360" w:lineRule="auto"/>
              <w:rPr>
                <w:rFonts w:ascii="宋体" w:eastAsia="宋体" w:hAnsi="宋体" w:cs="宋体"/>
                <w:sz w:val="24"/>
                <w:szCs w:val="24"/>
              </w:rPr>
            </w:pPr>
            <w:r w:rsidRPr="007D7260">
              <w:rPr>
                <w:rFonts w:ascii="宋体" w:eastAsia="宋体" w:hAnsi="宋体" w:cs="宋体" w:hint="eastAsia"/>
                <w:sz w:val="24"/>
                <w:szCs w:val="24"/>
              </w:rPr>
              <w:t>拟非公开发行股份募集配套资金，募集配套资金总额</w:t>
            </w:r>
            <w:r w:rsidRPr="007D7260">
              <w:rPr>
                <w:rFonts w:ascii="宋体" w:eastAsia="宋体" w:hAnsi="宋体" w:cs="宋体" w:hint="eastAsia"/>
                <w:bCs/>
                <w:sz w:val="24"/>
                <w:szCs w:val="24"/>
              </w:rPr>
              <w:t>不超过</w:t>
            </w:r>
            <w:r w:rsidRPr="007D7260">
              <w:rPr>
                <w:rFonts w:ascii="宋体" w:eastAsia="宋体" w:hAnsi="宋体" w:cs="宋体"/>
                <w:bCs/>
                <w:sz w:val="24"/>
                <w:szCs w:val="24"/>
              </w:rPr>
              <w:t>53,200</w:t>
            </w:r>
            <w:r w:rsidRPr="007D7260">
              <w:rPr>
                <w:rFonts w:ascii="宋体" w:eastAsia="宋体" w:hAnsi="宋体" w:cs="宋体" w:hint="eastAsia"/>
                <w:bCs/>
                <w:sz w:val="24"/>
                <w:szCs w:val="24"/>
              </w:rPr>
              <w:t>万元</w:t>
            </w:r>
            <w:r w:rsidRPr="007D7260">
              <w:rPr>
                <w:rFonts w:ascii="宋体" w:eastAsia="宋体" w:hAnsi="宋体" w:cs="宋体" w:hint="eastAsia"/>
                <w:sz w:val="24"/>
                <w:szCs w:val="24"/>
              </w:rPr>
              <w:t>，不超过本次交易中以发行股份方式购买资产的交易价格的</w:t>
            </w:r>
            <w:r w:rsidRPr="007D7260">
              <w:rPr>
                <w:rFonts w:ascii="宋体" w:eastAsia="宋体" w:hAnsi="宋体" w:cs="宋体"/>
                <w:sz w:val="24"/>
                <w:szCs w:val="24"/>
              </w:rPr>
              <w:t>100%</w:t>
            </w:r>
            <w:r w:rsidRPr="007D7260">
              <w:rPr>
                <w:rFonts w:ascii="宋体" w:eastAsia="宋体" w:hAnsi="宋体" w:cs="宋体" w:hint="eastAsia"/>
                <w:sz w:val="24"/>
                <w:szCs w:val="24"/>
              </w:rPr>
              <w:t>。</w:t>
            </w:r>
          </w:p>
          <w:p w:rsidR="00D73B6E" w:rsidRPr="00D73B6E" w:rsidRDefault="00D73B6E" w:rsidP="00843759">
            <w:pPr>
              <w:snapToGrid w:val="0"/>
              <w:spacing w:after="0" w:line="360" w:lineRule="auto"/>
              <w:rPr>
                <w:rFonts w:ascii="宋体" w:eastAsia="宋体" w:hAnsi="宋体" w:cs="宋体"/>
                <w:sz w:val="24"/>
                <w:szCs w:val="24"/>
              </w:rPr>
            </w:pPr>
          </w:p>
          <w:p w:rsidR="00710851" w:rsidRPr="00C07CA3" w:rsidRDefault="00710851" w:rsidP="00843759">
            <w:pPr>
              <w:snapToGrid w:val="0"/>
              <w:spacing w:after="0" w:line="360" w:lineRule="auto"/>
              <w:rPr>
                <w:rFonts w:ascii="宋体" w:eastAsia="宋体" w:hAnsi="宋体" w:cs="宋体"/>
                <w:b/>
                <w:sz w:val="24"/>
                <w:szCs w:val="24"/>
              </w:rPr>
            </w:pPr>
            <w:r w:rsidRPr="00C07CA3">
              <w:rPr>
                <w:rFonts w:ascii="宋体" w:eastAsia="宋体" w:hAnsi="宋体" w:cs="宋体" w:hint="eastAsia"/>
                <w:b/>
                <w:sz w:val="24"/>
                <w:szCs w:val="24"/>
              </w:rPr>
              <w:t>第二部分、访谈</w:t>
            </w:r>
          </w:p>
          <w:p w:rsidR="00BC7763" w:rsidRPr="0061769B" w:rsidRDefault="000C67D8" w:rsidP="00BC7763">
            <w:pPr>
              <w:snapToGrid w:val="0"/>
              <w:spacing w:after="0" w:line="360" w:lineRule="auto"/>
              <w:rPr>
                <w:rFonts w:ascii="宋体" w:eastAsia="宋体" w:hAnsi="宋体" w:cs="宋体"/>
                <w:sz w:val="24"/>
                <w:szCs w:val="24"/>
              </w:rPr>
            </w:pPr>
            <w:r>
              <w:rPr>
                <w:rFonts w:ascii="宋体" w:eastAsia="宋体" w:hAnsi="宋体" w:cs="宋体" w:hint="eastAsia"/>
                <w:sz w:val="24"/>
                <w:szCs w:val="24"/>
              </w:rPr>
              <w:t>Q1：</w:t>
            </w:r>
            <w:r w:rsidR="00BC7763" w:rsidRPr="0061769B">
              <w:rPr>
                <w:rFonts w:ascii="宋体" w:eastAsia="宋体" w:hAnsi="宋体" w:cs="宋体" w:hint="eastAsia"/>
                <w:sz w:val="24"/>
                <w:szCs w:val="24"/>
              </w:rPr>
              <w:t>公司</w:t>
            </w:r>
            <w:r w:rsidR="002874F3" w:rsidRPr="002874F3">
              <w:rPr>
                <w:rFonts w:ascii="宋体" w:eastAsia="宋体" w:hAnsi="宋体" w:cs="宋体" w:hint="eastAsia"/>
                <w:sz w:val="24"/>
                <w:szCs w:val="24"/>
              </w:rPr>
              <w:t>芯片测试业务现状、</w:t>
            </w:r>
            <w:r w:rsidR="00F84467">
              <w:rPr>
                <w:rFonts w:ascii="宋体" w:eastAsia="宋体" w:hAnsi="宋体" w:cs="宋体" w:hint="eastAsia"/>
                <w:sz w:val="24"/>
                <w:szCs w:val="24"/>
              </w:rPr>
              <w:t>规划及</w:t>
            </w:r>
            <w:r w:rsidR="002874F3" w:rsidRPr="002874F3">
              <w:rPr>
                <w:rFonts w:ascii="宋体" w:eastAsia="宋体" w:hAnsi="宋体" w:cs="宋体" w:hint="eastAsia"/>
                <w:sz w:val="24"/>
                <w:szCs w:val="24"/>
              </w:rPr>
              <w:t>发展目标</w:t>
            </w:r>
            <w:r w:rsidR="00BC7763" w:rsidRPr="0061769B">
              <w:rPr>
                <w:rFonts w:ascii="宋体" w:eastAsia="宋体" w:hAnsi="宋体" w:cs="宋体" w:hint="eastAsia"/>
                <w:sz w:val="24"/>
                <w:szCs w:val="24"/>
              </w:rPr>
              <w:t>?</w:t>
            </w:r>
          </w:p>
          <w:p w:rsidR="00BC7763" w:rsidRDefault="00BC7763" w:rsidP="0061769B">
            <w:pPr>
              <w:snapToGrid w:val="0"/>
              <w:spacing w:after="0" w:line="360" w:lineRule="auto"/>
              <w:rPr>
                <w:rFonts w:ascii="宋体" w:eastAsia="宋体" w:hAnsi="宋体" w:cs="宋体"/>
                <w:sz w:val="24"/>
                <w:szCs w:val="24"/>
              </w:rPr>
            </w:pPr>
            <w:r w:rsidRPr="0061769B">
              <w:rPr>
                <w:rFonts w:ascii="宋体" w:eastAsia="宋体" w:hAnsi="宋体" w:cs="宋体" w:hint="eastAsia"/>
                <w:sz w:val="24"/>
                <w:szCs w:val="24"/>
              </w:rPr>
              <w:t xml:space="preserve">A: </w:t>
            </w:r>
            <w:r w:rsidR="002874F3" w:rsidRPr="0061769B">
              <w:rPr>
                <w:rFonts w:ascii="宋体" w:eastAsia="宋体" w:hAnsi="宋体" w:cs="宋体" w:hint="eastAsia"/>
                <w:sz w:val="24"/>
                <w:szCs w:val="24"/>
              </w:rPr>
              <w:t>公司</w:t>
            </w:r>
            <w:r w:rsidR="002874F3" w:rsidRPr="002874F3">
              <w:rPr>
                <w:rFonts w:ascii="宋体" w:eastAsia="宋体" w:hAnsi="宋体" w:cs="宋体" w:hint="eastAsia"/>
                <w:sz w:val="24"/>
                <w:szCs w:val="24"/>
              </w:rPr>
              <w:t>芯片测试业务</w:t>
            </w:r>
            <w:r w:rsidR="002874F3">
              <w:rPr>
                <w:rFonts w:ascii="宋体" w:eastAsia="宋体" w:hAnsi="宋体" w:cs="宋体" w:hint="eastAsia"/>
                <w:sz w:val="24"/>
                <w:szCs w:val="24"/>
              </w:rPr>
              <w:t>可以分为两部分：一是标准化测试设备产品，二是定制化设备服务。</w:t>
            </w:r>
            <w:r w:rsidR="008F1EA3">
              <w:rPr>
                <w:rFonts w:ascii="宋体" w:eastAsia="宋体" w:hAnsi="宋体" w:cs="宋体" w:hint="eastAsia"/>
                <w:sz w:val="24"/>
                <w:szCs w:val="24"/>
              </w:rPr>
              <w:t>公司产品</w:t>
            </w:r>
            <w:r w:rsidR="002874F3" w:rsidRPr="002874F3">
              <w:rPr>
                <w:rFonts w:ascii="宋体" w:eastAsia="宋体" w:hAnsi="宋体" w:cs="宋体" w:hint="eastAsia"/>
                <w:sz w:val="24"/>
                <w:szCs w:val="24"/>
              </w:rPr>
              <w:t>根据平板显示器件显示技术的升级换代及产品检测需求的不断变化而定制，研发能力与快速响应能力</w:t>
            </w:r>
            <w:r w:rsidR="008F1EA3">
              <w:rPr>
                <w:rFonts w:ascii="宋体" w:eastAsia="宋体" w:hAnsi="宋体" w:cs="宋体" w:hint="eastAsia"/>
                <w:sz w:val="24"/>
                <w:szCs w:val="24"/>
              </w:rPr>
              <w:t>均</w:t>
            </w:r>
            <w:r w:rsidR="002874F3" w:rsidRPr="002874F3">
              <w:rPr>
                <w:rFonts w:ascii="宋体" w:eastAsia="宋体" w:hAnsi="宋体" w:cs="宋体" w:hint="eastAsia"/>
                <w:sz w:val="24"/>
                <w:szCs w:val="24"/>
              </w:rPr>
              <w:t>得到了客户的认可，去年订单量</w:t>
            </w:r>
            <w:r w:rsidR="008F1EA3">
              <w:rPr>
                <w:rFonts w:ascii="宋体" w:eastAsia="宋体" w:hAnsi="宋体" w:cs="宋体" w:hint="eastAsia"/>
                <w:sz w:val="24"/>
                <w:szCs w:val="24"/>
              </w:rPr>
              <w:t>可</w:t>
            </w:r>
            <w:r w:rsidR="002874F3" w:rsidRPr="002874F3">
              <w:rPr>
                <w:rFonts w:ascii="宋体" w:eastAsia="宋体" w:hAnsi="宋体" w:cs="宋体" w:hint="eastAsia"/>
                <w:sz w:val="24"/>
                <w:szCs w:val="24"/>
              </w:rPr>
              <w:t>观，现已进入量产阶段。</w:t>
            </w:r>
          </w:p>
          <w:p w:rsidR="005872A6" w:rsidRDefault="005872A6" w:rsidP="0061769B">
            <w:pPr>
              <w:snapToGrid w:val="0"/>
              <w:spacing w:after="0" w:line="360" w:lineRule="auto"/>
              <w:rPr>
                <w:rFonts w:ascii="宋体" w:eastAsia="宋体" w:hAnsi="宋体" w:cs="宋体"/>
                <w:sz w:val="24"/>
                <w:szCs w:val="24"/>
              </w:rPr>
            </w:pPr>
          </w:p>
          <w:p w:rsidR="0061769B" w:rsidRPr="00710851" w:rsidRDefault="0061769B" w:rsidP="0061769B">
            <w:pPr>
              <w:snapToGrid w:val="0"/>
              <w:spacing w:after="0" w:line="360" w:lineRule="auto"/>
              <w:rPr>
                <w:rFonts w:ascii="宋体" w:eastAsia="宋体" w:hAnsi="宋体" w:cs="宋体"/>
                <w:sz w:val="24"/>
                <w:szCs w:val="24"/>
              </w:rPr>
            </w:pPr>
            <w:r>
              <w:rPr>
                <w:rFonts w:ascii="宋体" w:eastAsia="宋体" w:hAnsi="宋体" w:cs="宋体" w:hint="eastAsia"/>
                <w:sz w:val="24"/>
                <w:szCs w:val="24"/>
              </w:rPr>
              <w:t xml:space="preserve">Q2: </w:t>
            </w:r>
            <w:r w:rsidR="008F1EA3">
              <w:rPr>
                <w:rFonts w:ascii="宋体" w:eastAsia="宋体" w:hAnsi="宋体" w:cs="宋体" w:hint="eastAsia"/>
                <w:sz w:val="24"/>
                <w:szCs w:val="24"/>
              </w:rPr>
              <w:t>公司</w:t>
            </w:r>
            <w:r w:rsidR="002874F3" w:rsidRPr="008F1EA3">
              <w:rPr>
                <w:rFonts w:ascii="宋体" w:eastAsia="宋体" w:hAnsi="宋体" w:cs="宋体" w:hint="eastAsia"/>
                <w:sz w:val="24"/>
                <w:szCs w:val="24"/>
              </w:rPr>
              <w:t>下游、终端客户销售情况如何</w:t>
            </w:r>
            <w:r w:rsidRPr="00710851">
              <w:rPr>
                <w:rFonts w:ascii="宋体" w:eastAsia="宋体" w:hAnsi="宋体" w:cs="宋体" w:hint="eastAsia"/>
                <w:sz w:val="24"/>
                <w:szCs w:val="24"/>
              </w:rPr>
              <w:t>？</w:t>
            </w:r>
          </w:p>
          <w:p w:rsidR="00D44E37" w:rsidRDefault="00D44E37" w:rsidP="00710851">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lastRenderedPageBreak/>
              <w:t>A:</w:t>
            </w:r>
            <w:r w:rsidR="002874F3">
              <w:rPr>
                <w:rFonts w:ascii="宋体" w:eastAsia="宋体" w:hAnsi="宋体" w:cs="宋体"/>
                <w:sz w:val="24"/>
                <w:szCs w:val="24"/>
              </w:rPr>
              <w:t xml:space="preserve"> </w:t>
            </w:r>
            <w:r w:rsidR="002874F3">
              <w:rPr>
                <w:rFonts w:ascii="宋体" w:eastAsia="宋体" w:hAnsi="宋体" w:cs="宋体" w:hint="eastAsia"/>
                <w:sz w:val="24"/>
                <w:szCs w:val="24"/>
              </w:rPr>
              <w:t>据目前收到的信息反馈来看，今年虽有疫情影响，公司客户在产线</w:t>
            </w:r>
            <w:r w:rsidR="008F1EA3">
              <w:rPr>
                <w:rFonts w:ascii="宋体" w:eastAsia="宋体" w:hAnsi="宋体" w:cs="宋体" w:hint="eastAsia"/>
                <w:sz w:val="24"/>
                <w:szCs w:val="24"/>
              </w:rPr>
              <w:t>布局</w:t>
            </w:r>
            <w:r w:rsidR="002874F3">
              <w:rPr>
                <w:rFonts w:ascii="宋体" w:eastAsia="宋体" w:hAnsi="宋体" w:cs="宋体" w:hint="eastAsia"/>
                <w:sz w:val="24"/>
                <w:szCs w:val="24"/>
              </w:rPr>
              <w:t>、产能规划等方面</w:t>
            </w:r>
            <w:r w:rsidR="008F1EA3">
              <w:rPr>
                <w:rFonts w:ascii="宋体" w:eastAsia="宋体" w:hAnsi="宋体" w:cs="宋体" w:hint="eastAsia"/>
                <w:sz w:val="24"/>
                <w:szCs w:val="24"/>
              </w:rPr>
              <w:t>无较大变化；出货由于有国内市场和海外市场之分，可能稍有延迟。总体我们对客户的</w:t>
            </w:r>
            <w:r w:rsidR="00B12731">
              <w:rPr>
                <w:rFonts w:ascii="宋体" w:eastAsia="宋体" w:hAnsi="宋体" w:cs="宋体" w:hint="eastAsia"/>
                <w:sz w:val="24"/>
                <w:szCs w:val="24"/>
              </w:rPr>
              <w:t>销售情况持看好态度</w:t>
            </w:r>
            <w:r w:rsidRPr="00710851">
              <w:rPr>
                <w:rFonts w:ascii="宋体" w:eastAsia="宋体" w:hAnsi="宋体" w:cs="宋体" w:hint="eastAsia"/>
                <w:sz w:val="24"/>
                <w:szCs w:val="24"/>
              </w:rPr>
              <w:t>。</w:t>
            </w:r>
          </w:p>
          <w:p w:rsidR="005872A6" w:rsidRPr="00710851" w:rsidRDefault="005872A6" w:rsidP="00710851">
            <w:pPr>
              <w:snapToGrid w:val="0"/>
              <w:spacing w:after="0" w:line="360" w:lineRule="auto"/>
              <w:rPr>
                <w:rFonts w:ascii="宋体" w:eastAsia="宋体" w:hAnsi="宋体" w:cs="宋体"/>
                <w:sz w:val="24"/>
                <w:szCs w:val="24"/>
              </w:rPr>
            </w:pPr>
          </w:p>
          <w:p w:rsidR="001C3134" w:rsidRPr="00710851" w:rsidRDefault="00481408" w:rsidP="00710851">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 xml:space="preserve">Q3: </w:t>
            </w:r>
            <w:r w:rsidR="001C3134" w:rsidRPr="00710851">
              <w:rPr>
                <w:rFonts w:ascii="宋体" w:eastAsia="宋体" w:hAnsi="宋体" w:cs="宋体" w:hint="eastAsia"/>
                <w:sz w:val="24"/>
                <w:szCs w:val="24"/>
              </w:rPr>
              <w:t>公司目前</w:t>
            </w:r>
            <w:r w:rsidR="00DE2D60" w:rsidRPr="00DE2D60">
              <w:rPr>
                <w:rFonts w:ascii="宋体" w:eastAsia="宋体" w:hAnsi="宋体" w:cs="宋体" w:hint="eastAsia"/>
                <w:sz w:val="24"/>
                <w:szCs w:val="24"/>
              </w:rPr>
              <w:t>研发体系是怎样的，收购欧立通后企业模式会有哪些变化</w:t>
            </w:r>
            <w:r w:rsidR="001C3134" w:rsidRPr="00710851">
              <w:rPr>
                <w:rFonts w:ascii="宋体" w:eastAsia="宋体" w:hAnsi="宋体" w:cs="宋体" w:hint="eastAsia"/>
                <w:sz w:val="24"/>
                <w:szCs w:val="24"/>
              </w:rPr>
              <w:t>？</w:t>
            </w:r>
          </w:p>
          <w:p w:rsidR="001C3134" w:rsidRDefault="001C3134" w:rsidP="00710851">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A:</w:t>
            </w:r>
            <w:r w:rsidR="00DE2D60">
              <w:rPr>
                <w:rFonts w:ascii="宋体" w:eastAsia="宋体" w:hAnsi="宋体" w:cs="宋体"/>
                <w:sz w:val="24"/>
                <w:szCs w:val="24"/>
              </w:rPr>
              <w:t xml:space="preserve"> </w:t>
            </w:r>
            <w:r w:rsidR="00DE2D60">
              <w:rPr>
                <w:rFonts w:ascii="宋体" w:eastAsia="宋体" w:hAnsi="宋体" w:cs="宋体" w:hint="eastAsia"/>
                <w:sz w:val="24"/>
                <w:szCs w:val="24"/>
              </w:rPr>
              <w:t>技术领域上，华兴源创会在原本擅长的</w:t>
            </w:r>
            <w:r w:rsidR="00A11438">
              <w:rPr>
                <w:rFonts w:ascii="宋体" w:eastAsia="宋体" w:hAnsi="宋体" w:cs="宋体" w:hint="eastAsia"/>
                <w:sz w:val="24"/>
                <w:szCs w:val="24"/>
              </w:rPr>
              <w:t>“</w:t>
            </w:r>
            <w:r w:rsidR="00DE2D60">
              <w:rPr>
                <w:rFonts w:ascii="宋体" w:eastAsia="宋体" w:hAnsi="宋体" w:cs="宋体" w:hint="eastAsia"/>
                <w:sz w:val="24"/>
                <w:szCs w:val="24"/>
              </w:rPr>
              <w:t>光</w:t>
            </w:r>
            <w:r w:rsidR="00A11438">
              <w:rPr>
                <w:rFonts w:ascii="宋体" w:eastAsia="宋体" w:hAnsi="宋体" w:cs="宋体" w:hint="eastAsia"/>
                <w:sz w:val="24"/>
                <w:szCs w:val="24"/>
              </w:rPr>
              <w:t>”</w:t>
            </w:r>
            <w:r w:rsidR="00DE2D60">
              <w:rPr>
                <w:rFonts w:ascii="宋体" w:eastAsia="宋体" w:hAnsi="宋体" w:cs="宋体" w:hint="eastAsia"/>
                <w:sz w:val="24"/>
                <w:szCs w:val="24"/>
              </w:rPr>
              <w:t>、</w:t>
            </w:r>
            <w:r w:rsidR="00A11438">
              <w:rPr>
                <w:rFonts w:ascii="宋体" w:eastAsia="宋体" w:hAnsi="宋体" w:cs="宋体" w:hint="eastAsia"/>
                <w:sz w:val="24"/>
                <w:szCs w:val="24"/>
              </w:rPr>
              <w:t>“</w:t>
            </w:r>
            <w:r w:rsidR="00DE2D60">
              <w:rPr>
                <w:rFonts w:ascii="宋体" w:eastAsia="宋体" w:hAnsi="宋体" w:cs="宋体" w:hint="eastAsia"/>
                <w:sz w:val="24"/>
                <w:szCs w:val="24"/>
              </w:rPr>
              <w:t>电</w:t>
            </w:r>
            <w:r w:rsidR="00A11438">
              <w:rPr>
                <w:rFonts w:ascii="宋体" w:eastAsia="宋体" w:hAnsi="宋体" w:cs="宋体" w:hint="eastAsia"/>
                <w:sz w:val="24"/>
                <w:szCs w:val="24"/>
              </w:rPr>
              <w:t>”</w:t>
            </w:r>
            <w:r w:rsidR="00DE2D60">
              <w:rPr>
                <w:rFonts w:ascii="宋体" w:eastAsia="宋体" w:hAnsi="宋体" w:cs="宋体" w:hint="eastAsia"/>
                <w:sz w:val="24"/>
                <w:szCs w:val="24"/>
              </w:rPr>
              <w:t>等测试领域继续发挥所长，大力发展推进平板、半导体、汽车电子等方面的</w:t>
            </w:r>
            <w:r w:rsidR="00A11438">
              <w:rPr>
                <w:rFonts w:ascii="宋体" w:eastAsia="宋体" w:hAnsi="宋体" w:cs="宋体" w:hint="eastAsia"/>
                <w:sz w:val="24"/>
                <w:szCs w:val="24"/>
              </w:rPr>
              <w:t>检测</w:t>
            </w:r>
            <w:r w:rsidR="00DE2D60">
              <w:rPr>
                <w:rFonts w:ascii="宋体" w:eastAsia="宋体" w:hAnsi="宋体" w:cs="宋体" w:hint="eastAsia"/>
                <w:sz w:val="24"/>
                <w:szCs w:val="24"/>
              </w:rPr>
              <w:t>业务</w:t>
            </w:r>
            <w:r w:rsidRPr="00710851">
              <w:rPr>
                <w:rFonts w:ascii="宋体" w:eastAsia="宋体" w:hAnsi="宋体" w:cs="宋体" w:hint="eastAsia"/>
                <w:sz w:val="24"/>
                <w:szCs w:val="24"/>
              </w:rPr>
              <w:t>。</w:t>
            </w:r>
            <w:r w:rsidR="00A11438">
              <w:rPr>
                <w:rFonts w:ascii="宋体" w:eastAsia="宋体" w:hAnsi="宋体" w:cs="宋体" w:hint="eastAsia"/>
                <w:sz w:val="24"/>
                <w:szCs w:val="24"/>
              </w:rPr>
              <w:t>欧立通的加入无疑能够在“声”的检测领域为华兴</w:t>
            </w:r>
            <w:r w:rsidR="007D7332">
              <w:rPr>
                <w:rFonts w:ascii="宋体" w:eastAsia="宋体" w:hAnsi="宋体" w:cs="宋体" w:hint="eastAsia"/>
                <w:sz w:val="24"/>
                <w:szCs w:val="24"/>
              </w:rPr>
              <w:t>源创</w:t>
            </w:r>
            <w:r w:rsidR="00A11438">
              <w:rPr>
                <w:rFonts w:ascii="宋体" w:eastAsia="宋体" w:hAnsi="宋体" w:cs="宋体" w:hint="eastAsia"/>
                <w:sz w:val="24"/>
                <w:szCs w:val="24"/>
              </w:rPr>
              <w:t>赋能，二者结合，有利于实现技术模块的协同，取长补短。体系架构上，</w:t>
            </w:r>
            <w:r w:rsidR="007D7332">
              <w:rPr>
                <w:rFonts w:ascii="宋体" w:eastAsia="宋体" w:hAnsi="宋体" w:cs="宋体" w:hint="eastAsia"/>
                <w:sz w:val="24"/>
                <w:szCs w:val="24"/>
              </w:rPr>
              <w:t>二者能够实现系统、技术方面的共享。市场方面，华兴源创能够帮助</w:t>
            </w:r>
            <w:r w:rsidR="007D7332" w:rsidRPr="00052719">
              <w:rPr>
                <w:rFonts w:ascii="Times New Roman" w:eastAsia="宋体" w:hAnsi="Times New Roman" w:cs="Times New Roman" w:hint="eastAsia"/>
                <w:sz w:val="24"/>
                <w:szCs w:val="24"/>
              </w:rPr>
              <w:t>标的公司增强开拓下游新客户和新产品能力，进一步增强标的公司的盈利能力和盈利水平</w:t>
            </w:r>
            <w:r w:rsidR="007D7332">
              <w:rPr>
                <w:rFonts w:ascii="Times New Roman" w:eastAsia="宋体" w:hAnsi="Times New Roman" w:cs="Times New Roman" w:hint="eastAsia"/>
                <w:sz w:val="24"/>
                <w:szCs w:val="24"/>
              </w:rPr>
              <w:t>，交叉营销，增强海内外互动。</w:t>
            </w:r>
          </w:p>
          <w:p w:rsidR="005872A6" w:rsidRPr="00710851" w:rsidRDefault="005872A6" w:rsidP="00710851">
            <w:pPr>
              <w:snapToGrid w:val="0"/>
              <w:spacing w:after="0" w:line="360" w:lineRule="auto"/>
              <w:rPr>
                <w:rFonts w:ascii="宋体" w:eastAsia="宋体" w:hAnsi="宋体" w:cs="宋体"/>
                <w:sz w:val="24"/>
                <w:szCs w:val="24"/>
              </w:rPr>
            </w:pPr>
          </w:p>
          <w:p w:rsidR="001C3134" w:rsidRPr="00710851" w:rsidRDefault="001C3134" w:rsidP="00710851">
            <w:pPr>
              <w:snapToGrid w:val="0"/>
              <w:spacing w:after="0" w:line="360" w:lineRule="auto"/>
              <w:rPr>
                <w:rFonts w:ascii="宋体" w:eastAsia="宋体" w:hAnsi="宋体" w:cs="宋体"/>
                <w:sz w:val="24"/>
                <w:szCs w:val="24"/>
              </w:rPr>
            </w:pPr>
            <w:r w:rsidRPr="00710851">
              <w:rPr>
                <w:rFonts w:ascii="宋体" w:eastAsia="宋体" w:hAnsi="宋体" w:cs="宋体"/>
                <w:sz w:val="24"/>
                <w:szCs w:val="24"/>
              </w:rPr>
              <w:t xml:space="preserve">Q4: </w:t>
            </w:r>
            <w:r w:rsidR="00D237E6" w:rsidRPr="00D237E6">
              <w:rPr>
                <w:rFonts w:ascii="Times New Roman" w:eastAsia="宋体" w:hAnsi="Times New Roman" w:cs="Times New Roman" w:hint="eastAsia"/>
                <w:sz w:val="24"/>
                <w:szCs w:val="24"/>
              </w:rPr>
              <w:t>公司未来战略方向</w:t>
            </w:r>
            <w:r w:rsidRPr="00710851">
              <w:rPr>
                <w:rFonts w:ascii="宋体" w:eastAsia="宋体" w:hAnsi="宋体" w:cs="宋体" w:hint="eastAsia"/>
                <w:sz w:val="24"/>
                <w:szCs w:val="24"/>
              </w:rPr>
              <w:t>？</w:t>
            </w:r>
          </w:p>
          <w:p w:rsidR="001C3134" w:rsidRDefault="001C3134" w:rsidP="00710851">
            <w:pPr>
              <w:snapToGrid w:val="0"/>
              <w:spacing w:after="0" w:line="360" w:lineRule="auto"/>
              <w:rPr>
                <w:rFonts w:ascii="宋体" w:eastAsia="宋体" w:hAnsi="宋体" w:cs="宋体"/>
                <w:sz w:val="24"/>
                <w:szCs w:val="24"/>
              </w:rPr>
            </w:pPr>
            <w:r w:rsidRPr="00710851">
              <w:rPr>
                <w:rFonts w:ascii="宋体" w:eastAsia="宋体" w:hAnsi="宋体" w:cs="宋体"/>
                <w:sz w:val="24"/>
                <w:szCs w:val="24"/>
              </w:rPr>
              <w:t>A</w:t>
            </w:r>
            <w:r w:rsidRPr="00710851">
              <w:rPr>
                <w:rFonts w:ascii="宋体" w:eastAsia="宋体" w:hAnsi="宋体" w:cs="宋体" w:hint="eastAsia"/>
                <w:sz w:val="24"/>
                <w:szCs w:val="24"/>
              </w:rPr>
              <w:t>:</w:t>
            </w:r>
            <w:r w:rsidRPr="00710851">
              <w:rPr>
                <w:rFonts w:ascii="宋体" w:eastAsia="宋体" w:hAnsi="宋体" w:cs="宋体"/>
                <w:sz w:val="24"/>
                <w:szCs w:val="24"/>
              </w:rPr>
              <w:t xml:space="preserve"> </w:t>
            </w:r>
            <w:r w:rsidR="00E71520" w:rsidRPr="00E71520">
              <w:rPr>
                <w:rFonts w:ascii="宋体" w:eastAsia="宋体" w:hAnsi="宋体" w:cs="宋体" w:hint="eastAsia"/>
                <w:sz w:val="24"/>
                <w:szCs w:val="24"/>
              </w:rPr>
              <w:t>未来公司依旧会依托多年积累的核心技术，进行相关多元化领域的拓展，保持现有检测技术的竞争力以及现有的市场份额，同时不断开拓新领域的检测技术，如集成电路测试技术、电动汽车电子的检测技术等</w:t>
            </w:r>
            <w:r w:rsidRPr="00710851">
              <w:rPr>
                <w:rFonts w:ascii="宋体" w:eastAsia="宋体" w:hAnsi="宋体" w:cs="宋体" w:hint="eastAsia"/>
                <w:sz w:val="24"/>
                <w:szCs w:val="24"/>
              </w:rPr>
              <w:t>。</w:t>
            </w:r>
            <w:r w:rsidR="00E71520">
              <w:rPr>
                <w:rFonts w:ascii="宋体" w:eastAsia="宋体" w:hAnsi="宋体" w:cs="宋体" w:hint="eastAsia"/>
                <w:sz w:val="24"/>
                <w:szCs w:val="24"/>
              </w:rPr>
              <w:t>重组后，公司设备种类有望从平板、芯片等消费终端模组、零部件延伸至消费电子终端整机产品。</w:t>
            </w:r>
          </w:p>
          <w:p w:rsidR="00E71520" w:rsidRDefault="00E71520" w:rsidP="00710851">
            <w:pPr>
              <w:snapToGrid w:val="0"/>
              <w:spacing w:after="0" w:line="360" w:lineRule="auto"/>
              <w:rPr>
                <w:rFonts w:ascii="宋体" w:eastAsia="宋体" w:hAnsi="宋体" w:cs="宋体"/>
                <w:sz w:val="24"/>
                <w:szCs w:val="24"/>
              </w:rPr>
            </w:pPr>
            <w:r>
              <w:rPr>
                <w:rFonts w:ascii="宋体" w:eastAsia="宋体" w:hAnsi="宋体" w:cs="宋体" w:hint="eastAsia"/>
                <w:sz w:val="24"/>
                <w:szCs w:val="24"/>
              </w:rPr>
              <w:t>通过与标的公司的技术融合、共同开发，加速迭代出能够适应消费电子产品组装测试需要的智能装备解决方案，构建更为完整的消费电子智能设备应用链和成品图谱，完善战略布局。</w:t>
            </w:r>
          </w:p>
          <w:p w:rsidR="005872A6" w:rsidRPr="00710851" w:rsidRDefault="005872A6" w:rsidP="00710851">
            <w:pPr>
              <w:snapToGrid w:val="0"/>
              <w:spacing w:after="0" w:line="360" w:lineRule="auto"/>
              <w:rPr>
                <w:rFonts w:ascii="宋体" w:eastAsia="宋体" w:hAnsi="宋体" w:cs="宋体"/>
                <w:sz w:val="24"/>
                <w:szCs w:val="24"/>
              </w:rPr>
            </w:pPr>
          </w:p>
          <w:p w:rsidR="001C3134" w:rsidRPr="00710851" w:rsidRDefault="001C3134" w:rsidP="00710851">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Q5: 公司</w:t>
            </w:r>
            <w:r w:rsidR="007E6735" w:rsidRPr="00F015A5">
              <w:rPr>
                <w:rFonts w:ascii="宋体" w:eastAsia="宋体" w:hAnsi="宋体" w:cs="宋体"/>
                <w:sz w:val="24"/>
                <w:szCs w:val="24"/>
              </w:rPr>
              <w:t>2019</w:t>
            </w:r>
            <w:r w:rsidR="007E6735" w:rsidRPr="00F015A5">
              <w:rPr>
                <w:rFonts w:ascii="宋体" w:eastAsia="宋体" w:hAnsi="宋体" w:cs="宋体" w:hint="eastAsia"/>
                <w:sz w:val="24"/>
                <w:szCs w:val="24"/>
              </w:rPr>
              <w:t>年毛利率相较去年有所下降，请问是什么原因</w:t>
            </w:r>
            <w:r w:rsidRPr="00710851">
              <w:rPr>
                <w:rFonts w:ascii="宋体" w:eastAsia="宋体" w:hAnsi="宋体" w:cs="宋体"/>
                <w:sz w:val="24"/>
                <w:szCs w:val="24"/>
              </w:rPr>
              <w:t>？</w:t>
            </w:r>
          </w:p>
          <w:p w:rsidR="007E6735" w:rsidRPr="00970AFB" w:rsidRDefault="001C3134" w:rsidP="007E6735">
            <w:pPr>
              <w:snapToGrid w:val="0"/>
              <w:spacing w:after="0" w:line="360" w:lineRule="auto"/>
              <w:rPr>
                <w:rFonts w:ascii="宋体" w:eastAsia="宋体" w:hAnsi="宋体" w:cs="宋体"/>
                <w:sz w:val="24"/>
                <w:szCs w:val="24"/>
              </w:rPr>
            </w:pPr>
            <w:r w:rsidRPr="00710851">
              <w:rPr>
                <w:rFonts w:ascii="宋体" w:eastAsia="宋体" w:hAnsi="宋体" w:cs="宋体" w:hint="eastAsia"/>
                <w:sz w:val="24"/>
                <w:szCs w:val="24"/>
              </w:rPr>
              <w:t xml:space="preserve">A: </w:t>
            </w:r>
            <w:r w:rsidR="007E6735" w:rsidRPr="00970AFB">
              <w:rPr>
                <w:rFonts w:ascii="宋体" w:eastAsia="宋体" w:hAnsi="宋体" w:cs="宋体"/>
                <w:sz w:val="24"/>
                <w:szCs w:val="24"/>
              </w:rPr>
              <w:t>2019</w:t>
            </w:r>
            <w:r w:rsidR="007E6735" w:rsidRPr="00970AFB">
              <w:rPr>
                <w:rFonts w:ascii="宋体" w:eastAsia="宋体" w:hAnsi="宋体" w:cs="宋体" w:hint="eastAsia"/>
                <w:sz w:val="24"/>
                <w:szCs w:val="24"/>
              </w:rPr>
              <w:t>年度综合毛利率为</w:t>
            </w:r>
            <w:r w:rsidR="007E6735" w:rsidRPr="00970AFB">
              <w:rPr>
                <w:rFonts w:ascii="宋体" w:eastAsia="宋体" w:hAnsi="宋体" w:cs="宋体"/>
                <w:sz w:val="24"/>
                <w:szCs w:val="24"/>
              </w:rPr>
              <w:t>46.55%</w:t>
            </w:r>
            <w:r w:rsidR="007E6735" w:rsidRPr="00970AFB">
              <w:rPr>
                <w:rFonts w:ascii="宋体" w:eastAsia="宋体" w:hAnsi="宋体" w:cs="宋体" w:hint="eastAsia"/>
                <w:sz w:val="24"/>
                <w:szCs w:val="24"/>
              </w:rPr>
              <w:t>，较</w:t>
            </w:r>
            <w:r w:rsidR="007E6735" w:rsidRPr="00970AFB">
              <w:rPr>
                <w:rFonts w:ascii="宋体" w:eastAsia="宋体" w:hAnsi="宋体" w:cs="宋体"/>
                <w:sz w:val="24"/>
                <w:szCs w:val="24"/>
              </w:rPr>
              <w:t>2018</w:t>
            </w:r>
            <w:r w:rsidR="007E6735" w:rsidRPr="00970AFB">
              <w:rPr>
                <w:rFonts w:ascii="宋体" w:eastAsia="宋体" w:hAnsi="宋体" w:cs="宋体" w:hint="eastAsia"/>
                <w:sz w:val="24"/>
                <w:szCs w:val="24"/>
              </w:rPr>
              <w:t>年度下降了</w:t>
            </w:r>
            <w:r w:rsidR="007E6735" w:rsidRPr="00970AFB">
              <w:rPr>
                <w:rFonts w:ascii="宋体" w:eastAsia="宋体" w:hAnsi="宋体" w:cs="宋体"/>
                <w:sz w:val="24"/>
                <w:szCs w:val="24"/>
              </w:rPr>
              <w:t>8.83</w:t>
            </w:r>
            <w:r w:rsidR="007E6735" w:rsidRPr="00970AFB">
              <w:rPr>
                <w:rFonts w:ascii="宋体" w:eastAsia="宋体" w:hAnsi="宋体" w:cs="宋体" w:hint="eastAsia"/>
                <w:sz w:val="24"/>
                <w:szCs w:val="24"/>
              </w:rPr>
              <w:t>个百分点</w:t>
            </w:r>
            <w:r w:rsidR="007E6735" w:rsidRPr="00970AFB">
              <w:rPr>
                <w:rFonts w:ascii="宋体" w:eastAsia="宋体" w:hAnsi="宋体" w:cs="宋体"/>
                <w:sz w:val="24"/>
                <w:szCs w:val="24"/>
              </w:rPr>
              <w:t>,</w:t>
            </w:r>
            <w:r w:rsidR="007E6735" w:rsidRPr="00970AFB">
              <w:rPr>
                <w:rFonts w:ascii="宋体" w:eastAsia="宋体" w:hAnsi="宋体" w:cs="宋体" w:hint="eastAsia"/>
                <w:sz w:val="24"/>
                <w:szCs w:val="24"/>
              </w:rPr>
              <w:t>主要原因在于：公司加大了对业务的拓展，</w:t>
            </w:r>
            <w:r w:rsidR="007E6735" w:rsidRPr="00970AFB">
              <w:rPr>
                <w:rFonts w:ascii="宋体" w:eastAsia="宋体" w:hAnsi="宋体" w:cs="宋体"/>
                <w:sz w:val="24"/>
                <w:szCs w:val="24"/>
              </w:rPr>
              <w:t>2019</w:t>
            </w:r>
            <w:r w:rsidR="007E6735" w:rsidRPr="00970AFB">
              <w:rPr>
                <w:rFonts w:ascii="宋体" w:eastAsia="宋体" w:hAnsi="宋体" w:cs="宋体" w:hint="eastAsia"/>
                <w:sz w:val="24"/>
                <w:szCs w:val="24"/>
              </w:rPr>
              <w:t>年度新取得的</w:t>
            </w:r>
            <w:r w:rsidR="007E6735" w:rsidRPr="00970AFB">
              <w:rPr>
                <w:rFonts w:ascii="宋体" w:eastAsia="宋体" w:hAnsi="宋体" w:cs="宋体"/>
                <w:sz w:val="24"/>
                <w:szCs w:val="24"/>
              </w:rPr>
              <w:t>BMS</w:t>
            </w:r>
            <w:r w:rsidR="007E6735" w:rsidRPr="00970AFB">
              <w:rPr>
                <w:rFonts w:ascii="宋体" w:eastAsia="宋体" w:hAnsi="宋体" w:cs="宋体" w:hint="eastAsia"/>
                <w:sz w:val="24"/>
                <w:szCs w:val="24"/>
              </w:rPr>
              <w:t>电池芯片检测产品为公司全自动化的检测设备，该检测设备生产及研发难度较大，其毛利率水平低于公司</w:t>
            </w:r>
            <w:r w:rsidR="007E6735" w:rsidRPr="00970AFB">
              <w:rPr>
                <w:rFonts w:ascii="宋体" w:eastAsia="宋体" w:hAnsi="宋体" w:cs="宋体"/>
                <w:sz w:val="24"/>
                <w:szCs w:val="24"/>
              </w:rPr>
              <w:t>2019</w:t>
            </w:r>
            <w:r w:rsidR="007E6735" w:rsidRPr="00970AFB">
              <w:rPr>
                <w:rFonts w:ascii="宋体" w:eastAsia="宋体" w:hAnsi="宋体" w:cs="宋体" w:hint="eastAsia"/>
                <w:sz w:val="24"/>
                <w:szCs w:val="24"/>
              </w:rPr>
              <w:t>年度综合毛利率水平，同时</w:t>
            </w:r>
            <w:r w:rsidR="007E6735" w:rsidRPr="00970AFB">
              <w:rPr>
                <w:rFonts w:ascii="宋体" w:eastAsia="宋体" w:hAnsi="宋体" w:cs="宋体"/>
                <w:sz w:val="24"/>
                <w:szCs w:val="24"/>
              </w:rPr>
              <w:t>2019</w:t>
            </w:r>
            <w:r w:rsidR="007E6735" w:rsidRPr="00970AFB">
              <w:rPr>
                <w:rFonts w:ascii="宋体" w:eastAsia="宋体" w:hAnsi="宋体" w:cs="宋体" w:hint="eastAsia"/>
                <w:sz w:val="24"/>
                <w:szCs w:val="24"/>
              </w:rPr>
              <w:t>年度公司收入主要来源于自动化检测设备产品，</w:t>
            </w:r>
            <w:r w:rsidR="007E6735" w:rsidRPr="00970AFB">
              <w:rPr>
                <w:rFonts w:ascii="宋体" w:eastAsia="宋体" w:hAnsi="宋体" w:cs="宋体"/>
                <w:sz w:val="24"/>
                <w:szCs w:val="24"/>
              </w:rPr>
              <w:t>2019</w:t>
            </w:r>
            <w:r w:rsidR="007E6735" w:rsidRPr="00970AFB">
              <w:rPr>
                <w:rFonts w:ascii="宋体" w:eastAsia="宋体" w:hAnsi="宋体" w:cs="宋体" w:hint="eastAsia"/>
                <w:sz w:val="24"/>
                <w:szCs w:val="24"/>
              </w:rPr>
              <w:t>年自动化检测设备产品收入</w:t>
            </w:r>
            <w:r w:rsidR="007E6735" w:rsidRPr="00970AFB">
              <w:rPr>
                <w:rFonts w:ascii="宋体" w:eastAsia="宋体" w:hAnsi="宋体" w:cs="宋体" w:hint="eastAsia"/>
                <w:sz w:val="24"/>
                <w:szCs w:val="24"/>
              </w:rPr>
              <w:lastRenderedPageBreak/>
              <w:t>占整体营业收入的比例较</w:t>
            </w:r>
            <w:r w:rsidR="007E6735" w:rsidRPr="00970AFB">
              <w:rPr>
                <w:rFonts w:ascii="宋体" w:eastAsia="宋体" w:hAnsi="宋体" w:cs="宋体"/>
                <w:sz w:val="24"/>
                <w:szCs w:val="24"/>
              </w:rPr>
              <w:t>2018</w:t>
            </w:r>
            <w:r w:rsidR="007E6735" w:rsidRPr="00970AFB">
              <w:rPr>
                <w:rFonts w:ascii="宋体" w:eastAsia="宋体" w:hAnsi="宋体" w:cs="宋体" w:hint="eastAsia"/>
                <w:sz w:val="24"/>
                <w:szCs w:val="24"/>
              </w:rPr>
              <w:t>年度增长较多，公司自动化检测设备产品毛利率水平符合市场自动化设备产品毛利率水平，但相对公司其他产品毛利率水平偏低，从而拉低了公司</w:t>
            </w:r>
            <w:r w:rsidR="007E6735" w:rsidRPr="00970AFB">
              <w:rPr>
                <w:rFonts w:ascii="宋体" w:eastAsia="宋体" w:hAnsi="宋体" w:cs="宋体"/>
                <w:sz w:val="24"/>
                <w:szCs w:val="24"/>
              </w:rPr>
              <w:t>2019</w:t>
            </w:r>
            <w:r w:rsidR="007E6735" w:rsidRPr="00970AFB">
              <w:rPr>
                <w:rFonts w:ascii="宋体" w:eastAsia="宋体" w:hAnsi="宋体" w:cs="宋体" w:hint="eastAsia"/>
                <w:sz w:val="24"/>
                <w:szCs w:val="24"/>
              </w:rPr>
              <w:t>年度综合毛利率水平。</w:t>
            </w:r>
          </w:p>
          <w:p w:rsidR="001C3134" w:rsidRDefault="007E6735" w:rsidP="007E6735">
            <w:pPr>
              <w:snapToGrid w:val="0"/>
              <w:spacing w:after="0" w:line="360" w:lineRule="auto"/>
              <w:rPr>
                <w:rFonts w:ascii="宋体" w:eastAsia="宋体" w:hAnsi="宋体" w:cs="宋体"/>
                <w:sz w:val="24"/>
                <w:szCs w:val="24"/>
              </w:rPr>
            </w:pPr>
            <w:r w:rsidRPr="00970AFB">
              <w:rPr>
                <w:rFonts w:ascii="宋体" w:eastAsia="宋体" w:hAnsi="宋体" w:cs="宋体" w:hint="eastAsia"/>
                <w:sz w:val="24"/>
                <w:szCs w:val="24"/>
              </w:rPr>
              <w:t>此外，定制化</w:t>
            </w:r>
            <w:r w:rsidRPr="00970AFB">
              <w:rPr>
                <w:rFonts w:ascii="宋体" w:eastAsia="宋体" w:hAnsi="宋体" w:cs="宋体"/>
                <w:sz w:val="24"/>
                <w:szCs w:val="24"/>
              </w:rPr>
              <w:t>BMS</w:t>
            </w:r>
            <w:r w:rsidRPr="00970AFB">
              <w:rPr>
                <w:rFonts w:ascii="宋体" w:eastAsia="宋体" w:hAnsi="宋体" w:cs="宋体" w:hint="eastAsia"/>
                <w:sz w:val="24"/>
                <w:szCs w:val="24"/>
              </w:rPr>
              <w:t>芯片测试设备业务为公司成立以来首次取得公司重大客户定制化半导体测试订单业务，为保证公司树立作为合格半导体测试设备厂商具有战略里程碑式的超亿元订单能够安全落地，除了推出在性能上具有竞争力的产品以外，同时公司在售价上做出了一定幅度的让利操作；其次随着销售量的增加，公司的产品单位价格呈下降趋势，虽然销量增加带来的规模效应让单</w:t>
            </w:r>
            <w:r>
              <w:rPr>
                <w:rFonts w:ascii="宋体" w:eastAsia="宋体" w:hAnsi="宋体" w:cs="宋体" w:hint="eastAsia"/>
                <w:sz w:val="24"/>
                <w:szCs w:val="24"/>
              </w:rPr>
              <w:t>位成本也有所下降，但规模效应下的成本下降幅度略低于价格下降幅度</w:t>
            </w:r>
            <w:bookmarkStart w:id="0" w:name="_GoBack"/>
            <w:bookmarkEnd w:id="0"/>
            <w:r w:rsidR="001C3134" w:rsidRPr="00710851">
              <w:rPr>
                <w:rFonts w:ascii="宋体" w:eastAsia="宋体" w:hAnsi="宋体" w:cs="宋体" w:hint="eastAsia"/>
                <w:sz w:val="24"/>
                <w:szCs w:val="24"/>
              </w:rPr>
              <w:t>。</w:t>
            </w:r>
          </w:p>
          <w:p w:rsidR="00867C51" w:rsidRPr="001A6EF3" w:rsidRDefault="00867C51" w:rsidP="00C00B73">
            <w:pPr>
              <w:snapToGrid w:val="0"/>
              <w:spacing w:after="0" w:line="360" w:lineRule="auto"/>
              <w:rPr>
                <w:rFonts w:ascii="宋体" w:eastAsia="宋体" w:hAnsi="宋体" w:cs="宋体"/>
                <w:sz w:val="24"/>
                <w:szCs w:val="24"/>
              </w:rPr>
            </w:pPr>
          </w:p>
          <w:p w:rsidR="00F457E5" w:rsidRPr="00806637" w:rsidRDefault="00F457E5" w:rsidP="0049027D">
            <w:pPr>
              <w:snapToGrid w:val="0"/>
              <w:spacing w:after="0" w:line="360" w:lineRule="auto"/>
              <w:rPr>
                <w:rFonts w:ascii="宋体" w:eastAsia="宋体" w:hAnsi="宋体" w:cs="宋体"/>
                <w:sz w:val="24"/>
                <w:szCs w:val="24"/>
              </w:rPr>
            </w:pPr>
            <w:r w:rsidRPr="00312BFB">
              <w:rPr>
                <w:rFonts w:ascii="宋体" w:eastAsia="宋体" w:hAnsi="宋体" w:cs="宋体" w:hint="eastAsia"/>
                <w:sz w:val="24"/>
                <w:szCs w:val="24"/>
              </w:rPr>
              <w:t>接待过程中，公司与投资者进行了充分的交流与沟通，并严格按照公司《信息披露管理制度》等规定，保证信息披露的真实、准确、完整、及时、公平。没有出现未公开重大信息泄露等情况</w:t>
            </w:r>
            <w:r w:rsidR="00B47B9A">
              <w:rPr>
                <w:rFonts w:ascii="宋体" w:eastAsia="宋体" w:hAnsi="宋体" w:cs="宋体" w:hint="eastAsia"/>
                <w:sz w:val="24"/>
                <w:szCs w:val="24"/>
              </w:rPr>
              <w:t>,</w:t>
            </w:r>
            <w:r w:rsidR="00B47B9A" w:rsidRPr="00312BFB">
              <w:rPr>
                <w:rFonts w:ascii="宋体" w:eastAsia="宋体" w:hAnsi="宋体" w:cs="宋体" w:hint="eastAsia"/>
                <w:sz w:val="24"/>
                <w:szCs w:val="24"/>
              </w:rPr>
              <w:t xml:space="preserve"> </w:t>
            </w:r>
            <w:r w:rsidR="00B47B9A">
              <w:rPr>
                <w:rFonts w:ascii="宋体" w:eastAsia="宋体" w:hAnsi="宋体" w:cs="宋体" w:hint="eastAsia"/>
                <w:sz w:val="24"/>
                <w:szCs w:val="24"/>
              </w:rPr>
              <w:t>同时要求签署调研《承诺书》</w:t>
            </w:r>
            <w:r w:rsidRPr="00312BFB">
              <w:rPr>
                <w:rFonts w:ascii="宋体" w:eastAsia="宋体" w:hAnsi="宋体" w:cs="宋体" w:hint="eastAsia"/>
                <w:sz w:val="24"/>
                <w:szCs w:val="24"/>
              </w:rPr>
              <w:t>。</w:t>
            </w:r>
          </w:p>
        </w:tc>
      </w:tr>
      <w:tr w:rsidR="00595828"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附件清单（如有）</w:t>
            </w:r>
          </w:p>
        </w:tc>
        <w:tc>
          <w:tcPr>
            <w:tcW w:w="7876" w:type="dxa"/>
            <w:tcBorders>
              <w:top w:val="single" w:sz="4" w:space="0" w:color="000000"/>
              <w:left w:val="single" w:sz="4" w:space="0" w:color="000000"/>
              <w:bottom w:val="single" w:sz="4" w:space="0" w:color="000000"/>
              <w:right w:val="single" w:sz="4" w:space="0" w:color="000000"/>
            </w:tcBorders>
            <w:vAlign w:val="bottom"/>
          </w:tcPr>
          <w:p w:rsidR="00595828" w:rsidRPr="00843759" w:rsidRDefault="00595828" w:rsidP="00843759">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595828" w:rsidRPr="00843759" w:rsidTr="00E105E4">
        <w:trPr>
          <w:trHeight w:val="490"/>
        </w:trPr>
        <w:tc>
          <w:tcPr>
            <w:tcW w:w="2100" w:type="dxa"/>
            <w:tcBorders>
              <w:top w:val="single" w:sz="4" w:space="0" w:color="000000"/>
              <w:left w:val="single" w:sz="4" w:space="0" w:color="000000"/>
              <w:bottom w:val="single" w:sz="4" w:space="0" w:color="000000"/>
              <w:right w:val="single" w:sz="4" w:space="0" w:color="000000"/>
            </w:tcBorders>
            <w:vAlign w:val="center"/>
          </w:tcPr>
          <w:p w:rsidR="00595828" w:rsidRPr="00843759" w:rsidRDefault="00595828" w:rsidP="00843759">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876" w:type="dxa"/>
            <w:tcBorders>
              <w:top w:val="single" w:sz="4" w:space="0" w:color="000000"/>
              <w:left w:val="single" w:sz="4" w:space="0" w:color="000000"/>
              <w:bottom w:val="single" w:sz="4" w:space="0" w:color="000000"/>
              <w:right w:val="single" w:sz="4" w:space="0" w:color="000000"/>
            </w:tcBorders>
            <w:vAlign w:val="bottom"/>
          </w:tcPr>
          <w:p w:rsidR="00595828" w:rsidRPr="00843759" w:rsidRDefault="007E6735" w:rsidP="00843759">
            <w:pPr>
              <w:snapToGrid w:val="0"/>
              <w:spacing w:after="0" w:line="360" w:lineRule="auto"/>
              <w:rPr>
                <w:rFonts w:ascii="宋体" w:eastAsia="宋体" w:hAnsi="宋体" w:cs="宋体"/>
                <w:sz w:val="24"/>
                <w:szCs w:val="24"/>
              </w:rPr>
            </w:pPr>
            <w:r>
              <w:rPr>
                <w:rFonts w:ascii="宋体" w:eastAsia="宋体" w:hAnsi="宋体" w:cs="宋体"/>
                <w:sz w:val="24"/>
                <w:szCs w:val="24"/>
              </w:rPr>
              <w:t>20</w:t>
            </w:r>
            <w:r>
              <w:rPr>
                <w:rFonts w:ascii="宋体" w:eastAsia="宋体" w:hAnsi="宋体" w:cs="宋体" w:hint="eastAsia"/>
                <w:sz w:val="24"/>
                <w:szCs w:val="24"/>
              </w:rPr>
              <w:t>20</w:t>
            </w:r>
            <w:r w:rsidR="00595828" w:rsidRPr="00843759">
              <w:rPr>
                <w:rFonts w:ascii="宋体" w:eastAsia="宋体" w:hAnsi="宋体" w:cs="宋体"/>
                <w:sz w:val="24"/>
                <w:szCs w:val="24"/>
              </w:rPr>
              <w:t>年</w:t>
            </w:r>
            <w:r>
              <w:rPr>
                <w:rFonts w:ascii="宋体" w:eastAsia="宋体" w:hAnsi="宋体" w:cs="宋体" w:hint="eastAsia"/>
                <w:sz w:val="24"/>
                <w:szCs w:val="24"/>
              </w:rPr>
              <w:t>6</w:t>
            </w:r>
            <w:r w:rsidR="00595828" w:rsidRPr="00843759">
              <w:rPr>
                <w:rFonts w:ascii="宋体" w:eastAsia="宋体" w:hAnsi="宋体" w:cs="宋体"/>
                <w:sz w:val="24"/>
                <w:szCs w:val="24"/>
              </w:rPr>
              <w:t>月</w:t>
            </w:r>
            <w:r>
              <w:rPr>
                <w:rFonts w:ascii="宋体" w:eastAsia="宋体" w:hAnsi="宋体" w:cs="宋体" w:hint="eastAsia"/>
                <w:sz w:val="24"/>
                <w:szCs w:val="24"/>
              </w:rPr>
              <w:t>9</w:t>
            </w:r>
            <w:r w:rsidR="00595828" w:rsidRPr="00843759">
              <w:rPr>
                <w:rFonts w:ascii="宋体" w:eastAsia="宋体" w:hAnsi="宋体" w:cs="宋体"/>
                <w:sz w:val="24"/>
                <w:szCs w:val="24"/>
              </w:rPr>
              <w:t>日</w:t>
            </w:r>
          </w:p>
        </w:tc>
      </w:tr>
    </w:tbl>
    <w:p w:rsidR="00595828" w:rsidRDefault="00595828">
      <w:pPr>
        <w:spacing w:after="0"/>
        <w:jc w:val="both"/>
        <w:rPr>
          <w:rFonts w:eastAsiaTheme="minorEastAsia"/>
        </w:rPr>
      </w:pPr>
    </w:p>
    <w:sectPr w:rsidR="00595828">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7FC" w:rsidRDefault="000F67FC" w:rsidP="00595828">
      <w:pPr>
        <w:spacing w:after="0" w:line="240" w:lineRule="auto"/>
      </w:pPr>
      <w:r>
        <w:separator/>
      </w:r>
    </w:p>
  </w:endnote>
  <w:endnote w:type="continuationSeparator" w:id="0">
    <w:p w:rsidR="000F67FC" w:rsidRDefault="000F67FC" w:rsidP="00595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7FC" w:rsidRDefault="000F67FC" w:rsidP="00595828">
      <w:pPr>
        <w:spacing w:after="0" w:line="240" w:lineRule="auto"/>
      </w:pPr>
      <w:r>
        <w:separator/>
      </w:r>
    </w:p>
  </w:footnote>
  <w:footnote w:type="continuationSeparator" w:id="0">
    <w:p w:rsidR="000F67FC" w:rsidRDefault="000F67FC" w:rsidP="00595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11D55"/>
    <w:multiLevelType w:val="hybridMultilevel"/>
    <w:tmpl w:val="C8446BC4"/>
    <w:lvl w:ilvl="0" w:tplc="876A7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A5"/>
    <w:rsid w:val="000052DC"/>
    <w:rsid w:val="000309B3"/>
    <w:rsid w:val="00067749"/>
    <w:rsid w:val="00080F84"/>
    <w:rsid w:val="000C67D8"/>
    <w:rsid w:val="000F67FC"/>
    <w:rsid w:val="001309B8"/>
    <w:rsid w:val="001317CB"/>
    <w:rsid w:val="00137002"/>
    <w:rsid w:val="0015205E"/>
    <w:rsid w:val="00195B48"/>
    <w:rsid w:val="001A3B4C"/>
    <w:rsid w:val="001A6EF3"/>
    <w:rsid w:val="001B1CBE"/>
    <w:rsid w:val="001B501A"/>
    <w:rsid w:val="001C3134"/>
    <w:rsid w:val="001F562E"/>
    <w:rsid w:val="00202C1F"/>
    <w:rsid w:val="002106B0"/>
    <w:rsid w:val="00223B5B"/>
    <w:rsid w:val="00241C91"/>
    <w:rsid w:val="00241EDB"/>
    <w:rsid w:val="002874F3"/>
    <w:rsid w:val="002A6E77"/>
    <w:rsid w:val="002A7606"/>
    <w:rsid w:val="002C0E6C"/>
    <w:rsid w:val="002D1626"/>
    <w:rsid w:val="00301D5F"/>
    <w:rsid w:val="00331FC8"/>
    <w:rsid w:val="00336A5C"/>
    <w:rsid w:val="0036201E"/>
    <w:rsid w:val="00385C85"/>
    <w:rsid w:val="00385D6E"/>
    <w:rsid w:val="0038677B"/>
    <w:rsid w:val="003C52F4"/>
    <w:rsid w:val="003F73F1"/>
    <w:rsid w:val="0041155A"/>
    <w:rsid w:val="00420230"/>
    <w:rsid w:val="00451E98"/>
    <w:rsid w:val="00464F40"/>
    <w:rsid w:val="00481408"/>
    <w:rsid w:val="004837F7"/>
    <w:rsid w:val="0049027D"/>
    <w:rsid w:val="004A483D"/>
    <w:rsid w:val="004A5D33"/>
    <w:rsid w:val="004B537A"/>
    <w:rsid w:val="004D67D2"/>
    <w:rsid w:val="004F00F1"/>
    <w:rsid w:val="00504C35"/>
    <w:rsid w:val="00513B99"/>
    <w:rsid w:val="00515CE2"/>
    <w:rsid w:val="005517CE"/>
    <w:rsid w:val="005632D5"/>
    <w:rsid w:val="00584280"/>
    <w:rsid w:val="005872A6"/>
    <w:rsid w:val="00595828"/>
    <w:rsid w:val="005C293E"/>
    <w:rsid w:val="005D0BF6"/>
    <w:rsid w:val="005E6C6A"/>
    <w:rsid w:val="005F0010"/>
    <w:rsid w:val="0061769B"/>
    <w:rsid w:val="00640948"/>
    <w:rsid w:val="00675F80"/>
    <w:rsid w:val="006A7AB7"/>
    <w:rsid w:val="006E1217"/>
    <w:rsid w:val="006E171B"/>
    <w:rsid w:val="006E54A5"/>
    <w:rsid w:val="00710851"/>
    <w:rsid w:val="00727B9B"/>
    <w:rsid w:val="00731625"/>
    <w:rsid w:val="00754CC5"/>
    <w:rsid w:val="00757C3C"/>
    <w:rsid w:val="00757E4D"/>
    <w:rsid w:val="0076652B"/>
    <w:rsid w:val="007917EF"/>
    <w:rsid w:val="007A68FC"/>
    <w:rsid w:val="007D7260"/>
    <w:rsid w:val="007D7332"/>
    <w:rsid w:val="007E6735"/>
    <w:rsid w:val="007E7A95"/>
    <w:rsid w:val="007F5FF1"/>
    <w:rsid w:val="00806637"/>
    <w:rsid w:val="0081126F"/>
    <w:rsid w:val="00817AA6"/>
    <w:rsid w:val="0082084C"/>
    <w:rsid w:val="0082704A"/>
    <w:rsid w:val="00832CF2"/>
    <w:rsid w:val="008377CF"/>
    <w:rsid w:val="00843759"/>
    <w:rsid w:val="008547BE"/>
    <w:rsid w:val="00867C51"/>
    <w:rsid w:val="00883FF7"/>
    <w:rsid w:val="00893A07"/>
    <w:rsid w:val="008B3A47"/>
    <w:rsid w:val="008B3D4B"/>
    <w:rsid w:val="008D6DBB"/>
    <w:rsid w:val="008E06C3"/>
    <w:rsid w:val="008F1EA3"/>
    <w:rsid w:val="008F2F08"/>
    <w:rsid w:val="00926889"/>
    <w:rsid w:val="009274BD"/>
    <w:rsid w:val="00945FA5"/>
    <w:rsid w:val="009C039C"/>
    <w:rsid w:val="009E159B"/>
    <w:rsid w:val="009F03D0"/>
    <w:rsid w:val="00A051CE"/>
    <w:rsid w:val="00A065A9"/>
    <w:rsid w:val="00A11438"/>
    <w:rsid w:val="00A21E45"/>
    <w:rsid w:val="00A279C3"/>
    <w:rsid w:val="00A33DCD"/>
    <w:rsid w:val="00A54DA5"/>
    <w:rsid w:val="00AA4CCB"/>
    <w:rsid w:val="00AB1B7E"/>
    <w:rsid w:val="00AB4071"/>
    <w:rsid w:val="00AB6172"/>
    <w:rsid w:val="00AC10AF"/>
    <w:rsid w:val="00AC5914"/>
    <w:rsid w:val="00AE0919"/>
    <w:rsid w:val="00B12731"/>
    <w:rsid w:val="00B21533"/>
    <w:rsid w:val="00B34D86"/>
    <w:rsid w:val="00B36278"/>
    <w:rsid w:val="00B47B9A"/>
    <w:rsid w:val="00B539E0"/>
    <w:rsid w:val="00BA45DF"/>
    <w:rsid w:val="00BC0BB7"/>
    <w:rsid w:val="00BC49A5"/>
    <w:rsid w:val="00BC7763"/>
    <w:rsid w:val="00BE6EB3"/>
    <w:rsid w:val="00BE793B"/>
    <w:rsid w:val="00C00B73"/>
    <w:rsid w:val="00C07CA3"/>
    <w:rsid w:val="00C11A14"/>
    <w:rsid w:val="00C54C24"/>
    <w:rsid w:val="00CA11CE"/>
    <w:rsid w:val="00CB6691"/>
    <w:rsid w:val="00CC1AF6"/>
    <w:rsid w:val="00CD5112"/>
    <w:rsid w:val="00CE3057"/>
    <w:rsid w:val="00D050CE"/>
    <w:rsid w:val="00D237E6"/>
    <w:rsid w:val="00D25FBF"/>
    <w:rsid w:val="00D4092A"/>
    <w:rsid w:val="00D44E37"/>
    <w:rsid w:val="00D60976"/>
    <w:rsid w:val="00D73B6E"/>
    <w:rsid w:val="00DB4EF2"/>
    <w:rsid w:val="00DE2D60"/>
    <w:rsid w:val="00DE50CB"/>
    <w:rsid w:val="00DF55AE"/>
    <w:rsid w:val="00E0201F"/>
    <w:rsid w:val="00E055BB"/>
    <w:rsid w:val="00E07340"/>
    <w:rsid w:val="00E105E4"/>
    <w:rsid w:val="00E251AA"/>
    <w:rsid w:val="00E25BA0"/>
    <w:rsid w:val="00E26256"/>
    <w:rsid w:val="00E62BC6"/>
    <w:rsid w:val="00E71520"/>
    <w:rsid w:val="00E768AC"/>
    <w:rsid w:val="00E8783D"/>
    <w:rsid w:val="00EA119F"/>
    <w:rsid w:val="00EC7226"/>
    <w:rsid w:val="00ED615A"/>
    <w:rsid w:val="00EF3A87"/>
    <w:rsid w:val="00F1432B"/>
    <w:rsid w:val="00F20A40"/>
    <w:rsid w:val="00F346AF"/>
    <w:rsid w:val="00F34BEC"/>
    <w:rsid w:val="00F376D6"/>
    <w:rsid w:val="00F457E5"/>
    <w:rsid w:val="00F45EF0"/>
    <w:rsid w:val="00F75B5D"/>
    <w:rsid w:val="00F769A1"/>
    <w:rsid w:val="00F84467"/>
    <w:rsid w:val="00F8644C"/>
    <w:rsid w:val="00F97FC6"/>
    <w:rsid w:val="00FB38A8"/>
    <w:rsid w:val="00FC581E"/>
    <w:rsid w:val="00FE0B00"/>
    <w:rsid w:val="00FE2A05"/>
    <w:rsid w:val="00FE6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3E6F2"/>
  <w15:docId w15:val="{46D5E728-EE9A-415D-BAFE-4E5C2C2C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9582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95828"/>
    <w:rPr>
      <w:rFonts w:ascii="Calibri" w:eastAsia="Calibri" w:hAnsi="Calibri" w:cs="Calibri"/>
      <w:color w:val="000000"/>
      <w:sz w:val="18"/>
      <w:szCs w:val="18"/>
    </w:rPr>
  </w:style>
  <w:style w:type="paragraph" w:styleId="a5">
    <w:name w:val="footer"/>
    <w:basedOn w:val="a"/>
    <w:link w:val="a6"/>
    <w:uiPriority w:val="99"/>
    <w:unhideWhenUsed/>
    <w:rsid w:val="0059582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595828"/>
    <w:rPr>
      <w:rFonts w:ascii="Calibri" w:eastAsia="Calibri" w:hAnsi="Calibri" w:cs="Calibri"/>
      <w:color w:val="000000"/>
      <w:sz w:val="18"/>
      <w:szCs w:val="18"/>
    </w:rPr>
  </w:style>
  <w:style w:type="table" w:styleId="a7">
    <w:name w:val="Table Grid"/>
    <w:basedOn w:val="a1"/>
    <w:uiPriority w:val="39"/>
    <w:rsid w:val="00E7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68FC"/>
    <w:pPr>
      <w:spacing w:after="0" w:line="240" w:lineRule="auto"/>
    </w:pPr>
    <w:rPr>
      <w:sz w:val="18"/>
      <w:szCs w:val="18"/>
    </w:rPr>
  </w:style>
  <w:style w:type="character" w:customStyle="1" w:styleId="a9">
    <w:name w:val="批注框文本 字符"/>
    <w:basedOn w:val="a0"/>
    <w:link w:val="a8"/>
    <w:uiPriority w:val="99"/>
    <w:semiHidden/>
    <w:rsid w:val="007A68FC"/>
    <w:rPr>
      <w:rFonts w:ascii="Calibri" w:eastAsia="Calibri" w:hAnsi="Calibri" w:cs="Calibri"/>
      <w:color w:val="000000"/>
      <w:sz w:val="18"/>
      <w:szCs w:val="18"/>
    </w:rPr>
  </w:style>
  <w:style w:type="paragraph" w:styleId="aa">
    <w:name w:val="Revision"/>
    <w:hidden/>
    <w:uiPriority w:val="99"/>
    <w:semiHidden/>
    <w:rsid w:val="00CB6691"/>
    <w:rPr>
      <w:rFonts w:ascii="Calibri" w:eastAsia="Calibri" w:hAnsi="Calibri" w:cs="Calibri"/>
      <w:color w:val="000000"/>
      <w:sz w:val="22"/>
    </w:rPr>
  </w:style>
  <w:style w:type="paragraph" w:styleId="ab">
    <w:name w:val="Plain Text"/>
    <w:basedOn w:val="a"/>
    <w:link w:val="1"/>
    <w:rsid w:val="00832CF2"/>
    <w:pPr>
      <w:widowControl w:val="0"/>
      <w:spacing w:after="0" w:line="240" w:lineRule="auto"/>
      <w:jc w:val="both"/>
    </w:pPr>
    <w:rPr>
      <w:rFonts w:ascii="宋体" w:eastAsia="宋体" w:hAnsi="Courier New" w:cs="Times New Roman"/>
      <w:color w:val="auto"/>
      <w:sz w:val="21"/>
      <w:szCs w:val="24"/>
    </w:rPr>
  </w:style>
  <w:style w:type="character" w:customStyle="1" w:styleId="ac">
    <w:name w:val="纯文本 字符"/>
    <w:basedOn w:val="a0"/>
    <w:uiPriority w:val="99"/>
    <w:semiHidden/>
    <w:rsid w:val="00832CF2"/>
    <w:rPr>
      <w:rFonts w:asciiTheme="minorEastAsia" w:hAnsi="Courier New" w:cs="Courier New"/>
      <w:color w:val="000000"/>
      <w:sz w:val="22"/>
    </w:rPr>
  </w:style>
  <w:style w:type="character" w:customStyle="1" w:styleId="1">
    <w:name w:val="纯文本 字符1"/>
    <w:link w:val="ab"/>
    <w:rsid w:val="00832CF2"/>
    <w:rPr>
      <w:rFonts w:ascii="宋体" w:eastAsia="宋体" w:hAnsi="Courier New" w:cs="Times New Roman"/>
      <w:szCs w:val="24"/>
    </w:rPr>
  </w:style>
  <w:style w:type="paragraph" w:styleId="ad">
    <w:name w:val="List Paragraph"/>
    <w:basedOn w:val="a"/>
    <w:uiPriority w:val="34"/>
    <w:qFormat/>
    <w:rsid w:val="000C67D8"/>
    <w:pPr>
      <w:ind w:firstLineChars="200" w:firstLine="420"/>
    </w:pPr>
  </w:style>
  <w:style w:type="character" w:customStyle="1" w:styleId="bjh-p">
    <w:name w:val="bjh-p"/>
    <w:basedOn w:val="a0"/>
    <w:rsid w:val="00BC7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63452">
      <w:bodyDiv w:val="1"/>
      <w:marLeft w:val="0"/>
      <w:marRight w:val="0"/>
      <w:marTop w:val="0"/>
      <w:marBottom w:val="0"/>
      <w:divBdr>
        <w:top w:val="none" w:sz="0" w:space="0" w:color="auto"/>
        <w:left w:val="none" w:sz="0" w:space="0" w:color="auto"/>
        <w:bottom w:val="none" w:sz="0" w:space="0" w:color="auto"/>
        <w:right w:val="none" w:sz="0" w:space="0" w:color="auto"/>
      </w:divBdr>
    </w:div>
    <w:div w:id="661353620">
      <w:bodyDiv w:val="1"/>
      <w:marLeft w:val="0"/>
      <w:marRight w:val="0"/>
      <w:marTop w:val="0"/>
      <w:marBottom w:val="0"/>
      <w:divBdr>
        <w:top w:val="none" w:sz="0" w:space="0" w:color="auto"/>
        <w:left w:val="none" w:sz="0" w:space="0" w:color="auto"/>
        <w:bottom w:val="none" w:sz="0" w:space="0" w:color="auto"/>
        <w:right w:val="none" w:sz="0" w:space="0" w:color="auto"/>
      </w:divBdr>
    </w:div>
    <w:div w:id="1332025881">
      <w:bodyDiv w:val="1"/>
      <w:marLeft w:val="0"/>
      <w:marRight w:val="0"/>
      <w:marTop w:val="0"/>
      <w:marBottom w:val="0"/>
      <w:divBdr>
        <w:top w:val="none" w:sz="0" w:space="0" w:color="auto"/>
        <w:left w:val="none" w:sz="0" w:space="0" w:color="auto"/>
        <w:bottom w:val="none" w:sz="0" w:space="0" w:color="auto"/>
        <w:right w:val="none" w:sz="0" w:space="0" w:color="auto"/>
      </w:divBdr>
    </w:div>
    <w:div w:id="1665741395">
      <w:bodyDiv w:val="1"/>
      <w:marLeft w:val="0"/>
      <w:marRight w:val="0"/>
      <w:marTop w:val="0"/>
      <w:marBottom w:val="0"/>
      <w:divBdr>
        <w:top w:val="none" w:sz="0" w:space="0" w:color="auto"/>
        <w:left w:val="none" w:sz="0" w:space="0" w:color="auto"/>
        <w:bottom w:val="none" w:sz="0" w:space="0" w:color="auto"/>
        <w:right w:val="none" w:sz="0" w:space="0" w:color="auto"/>
      </w:divBdr>
      <w:divsChild>
        <w:div w:id="1806123339">
          <w:marLeft w:val="446"/>
          <w:marRight w:val="0"/>
          <w:marTop w:val="0"/>
          <w:marBottom w:val="0"/>
          <w:divBdr>
            <w:top w:val="none" w:sz="0" w:space="0" w:color="auto"/>
            <w:left w:val="none" w:sz="0" w:space="0" w:color="auto"/>
            <w:bottom w:val="none" w:sz="0" w:space="0" w:color="auto"/>
            <w:right w:val="none" w:sz="0" w:space="0" w:color="auto"/>
          </w:divBdr>
        </w:div>
      </w:divsChild>
    </w:div>
    <w:div w:id="1727755823">
      <w:bodyDiv w:val="1"/>
      <w:marLeft w:val="0"/>
      <w:marRight w:val="0"/>
      <w:marTop w:val="0"/>
      <w:marBottom w:val="0"/>
      <w:divBdr>
        <w:top w:val="none" w:sz="0" w:space="0" w:color="auto"/>
        <w:left w:val="none" w:sz="0" w:space="0" w:color="auto"/>
        <w:bottom w:val="none" w:sz="0" w:space="0" w:color="auto"/>
        <w:right w:val="none" w:sz="0" w:space="0" w:color="auto"/>
      </w:divBdr>
      <w:divsChild>
        <w:div w:id="569848037">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359</Words>
  <Characters>2048</Characters>
  <Application>Microsoft Office Word</Application>
  <DocSecurity>0</DocSecurity>
  <Lines>17</Lines>
  <Paragraphs>4</Paragraphs>
  <ScaleCrop>false</ScaleCrop>
  <Company>QN</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cp:lastModifiedBy>HYC_财务部_任艺男</cp:lastModifiedBy>
  <cp:revision>19</cp:revision>
  <cp:lastPrinted>2019-07-30T02:32:00Z</cp:lastPrinted>
  <dcterms:created xsi:type="dcterms:W3CDTF">2020-06-09T07:35:00Z</dcterms:created>
  <dcterms:modified xsi:type="dcterms:W3CDTF">2020-06-11T01:35:00Z</dcterms:modified>
</cp:coreProperties>
</file>