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83F1" w14:textId="77777777" w:rsidR="00A54DA5" w:rsidRPr="00C81363" w:rsidRDefault="00843759" w:rsidP="00C81363">
      <w:pPr>
        <w:spacing w:after="220"/>
        <w:rPr>
          <w:rFonts w:eastAsiaTheme="minorEastAsia"/>
        </w:rPr>
      </w:pPr>
      <w:r>
        <w:rPr>
          <w:rFonts w:ascii="宋体" w:eastAsia="宋体" w:hAnsi="宋体" w:cs="宋体"/>
          <w:sz w:val="24"/>
        </w:rPr>
        <w:t>证券代码：</w:t>
      </w:r>
      <w:r>
        <w:rPr>
          <w:rFonts w:ascii="宋体" w:eastAsia="宋体" w:hAnsi="宋体" w:cs="宋体" w:hint="eastAsia"/>
          <w:sz w:val="24"/>
        </w:rPr>
        <w:t>68800</w:t>
      </w:r>
      <w:r w:rsidR="00F14E77">
        <w:rPr>
          <w:rFonts w:ascii="宋体" w:eastAsia="宋体" w:hAnsi="宋体" w:cs="宋体" w:hint="eastAsia"/>
          <w:sz w:val="24"/>
        </w:rPr>
        <w:t>6</w:t>
      </w:r>
      <w:r>
        <w:rPr>
          <w:rFonts w:ascii="宋体" w:eastAsia="宋体" w:hAnsi="宋体" w:cs="宋体"/>
          <w:sz w:val="24"/>
        </w:rPr>
        <w:t xml:space="preserve">                                   </w:t>
      </w:r>
      <w:r w:rsidR="00595828">
        <w:rPr>
          <w:rFonts w:ascii="宋体" w:eastAsia="宋体" w:hAnsi="宋体" w:cs="宋体"/>
          <w:sz w:val="24"/>
        </w:rPr>
        <w:t>证券简称：</w:t>
      </w:r>
      <w:r w:rsidR="00F14E77">
        <w:rPr>
          <w:rFonts w:ascii="宋体" w:eastAsia="宋体" w:hAnsi="宋体" w:cs="宋体" w:hint="eastAsia"/>
          <w:sz w:val="24"/>
        </w:rPr>
        <w:t>杭可科技</w:t>
      </w:r>
      <w:r w:rsidR="00595828">
        <w:rPr>
          <w:rFonts w:ascii="宋体" w:eastAsia="宋体" w:hAnsi="宋体" w:cs="宋体" w:hint="eastAsia"/>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14:paraId="3C238E17" w14:textId="77777777" w:rsidR="00BE6EB3" w:rsidRPr="00595828" w:rsidRDefault="00F14E77" w:rsidP="00F14E77">
      <w:pPr>
        <w:spacing w:after="0"/>
        <w:jc w:val="center"/>
        <w:rPr>
          <w:rFonts w:ascii="宋体" w:eastAsia="宋体" w:hAnsi="宋体" w:cs="宋体"/>
          <w:b/>
          <w:sz w:val="32"/>
        </w:rPr>
      </w:pPr>
      <w:r>
        <w:rPr>
          <w:rFonts w:ascii="宋体" w:eastAsia="宋体" w:hAnsi="宋体" w:cs="宋体" w:hint="eastAsia"/>
          <w:b/>
          <w:sz w:val="32"/>
        </w:rPr>
        <w:t>浙江杭可</w:t>
      </w:r>
      <w:r w:rsidR="00E0201F" w:rsidRPr="00595828">
        <w:rPr>
          <w:rFonts w:ascii="宋体" w:eastAsia="宋体" w:hAnsi="宋体" w:cs="宋体"/>
          <w:b/>
          <w:sz w:val="32"/>
        </w:rPr>
        <w:t>科技股份有限公司投资者关系活动记录表</w:t>
      </w:r>
    </w:p>
    <w:p w14:paraId="3B0EE485" w14:textId="0E974AE1" w:rsidR="00A54DA5" w:rsidRDefault="00E0201F">
      <w:pPr>
        <w:spacing w:after="0"/>
        <w:ind w:left="1179"/>
        <w:jc w:val="right"/>
      </w:pPr>
      <w:r>
        <w:rPr>
          <w:rFonts w:ascii="宋体" w:eastAsia="宋体" w:hAnsi="宋体" w:cs="宋体"/>
          <w:sz w:val="21"/>
        </w:rPr>
        <w:t xml:space="preserve">编号： </w:t>
      </w:r>
      <w:r w:rsidR="00843759">
        <w:rPr>
          <w:rFonts w:ascii="宋体" w:eastAsia="宋体" w:hAnsi="宋体" w:cs="宋体"/>
          <w:sz w:val="21"/>
        </w:rPr>
        <w:t>20</w:t>
      </w:r>
      <w:r w:rsidR="00AE3476">
        <w:rPr>
          <w:rFonts w:ascii="宋体" w:eastAsia="宋体" w:hAnsi="宋体" w:cs="宋体" w:hint="eastAsia"/>
          <w:sz w:val="21"/>
        </w:rPr>
        <w:t>20</w:t>
      </w:r>
      <w:r w:rsidR="00843759">
        <w:rPr>
          <w:rFonts w:ascii="宋体" w:eastAsia="宋体" w:hAnsi="宋体" w:cs="宋体" w:hint="eastAsia"/>
          <w:sz w:val="21"/>
        </w:rPr>
        <w:t>-</w:t>
      </w:r>
      <w:r w:rsidR="00843759">
        <w:rPr>
          <w:rFonts w:ascii="宋体" w:eastAsia="宋体" w:hAnsi="宋体" w:cs="宋体"/>
          <w:sz w:val="21"/>
        </w:rPr>
        <w:t>00</w:t>
      </w:r>
      <w:r w:rsidR="00451501">
        <w:rPr>
          <w:rFonts w:ascii="宋体" w:eastAsia="宋体" w:hAnsi="宋体" w:cs="宋体" w:hint="eastAsia"/>
          <w:sz w:val="21"/>
        </w:rPr>
        <w:t>4</w:t>
      </w:r>
    </w:p>
    <w:tbl>
      <w:tblPr>
        <w:tblStyle w:val="TableGrid"/>
        <w:tblW w:w="9976" w:type="dxa"/>
        <w:jc w:val="center"/>
        <w:tblInd w:w="0" w:type="dxa"/>
        <w:tblCellMar>
          <w:left w:w="108" w:type="dxa"/>
          <w:bottom w:w="41" w:type="dxa"/>
        </w:tblCellMar>
        <w:tblLook w:val="04A0" w:firstRow="1" w:lastRow="0" w:firstColumn="1" w:lastColumn="0" w:noHBand="0" w:noVBand="1"/>
      </w:tblPr>
      <w:tblGrid>
        <w:gridCol w:w="2100"/>
        <w:gridCol w:w="7876"/>
      </w:tblGrid>
      <w:tr w:rsidR="00A54DA5" w:rsidRPr="00843759" w14:paraId="7BDC1A1F" w14:textId="77777777" w:rsidTr="009C480E">
        <w:trPr>
          <w:trHeight w:val="2292"/>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6185D4" w14:textId="77777777"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14:paraId="4957E2BE" w14:textId="77777777"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特定对象调研        □分析师会议 </w:t>
            </w:r>
          </w:p>
          <w:p w14:paraId="4BA26CDD"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□媒体采访            □业绩说明会 </w:t>
            </w:r>
          </w:p>
          <w:p w14:paraId="31372BF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□路演活动 </w:t>
            </w:r>
          </w:p>
          <w:p w14:paraId="2C9E2F6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w:t>
            </w:r>
            <w:r w:rsidRPr="0026533B">
              <w:rPr>
                <w:rFonts w:ascii="宋体" w:eastAsia="宋体" w:hAnsi="宋体" w:cs="宋体"/>
                <w:color w:val="000000" w:themeColor="text1"/>
                <w:sz w:val="24"/>
                <w:szCs w:val="24"/>
              </w:rPr>
              <w:t>□</w:t>
            </w:r>
            <w:r w:rsidRPr="00843759">
              <w:rPr>
                <w:rFonts w:ascii="宋体" w:eastAsia="宋体" w:hAnsi="宋体" w:cs="宋体"/>
                <w:sz w:val="24"/>
                <w:szCs w:val="24"/>
              </w:rPr>
              <w:t xml:space="preserve">一对一沟通 </w:t>
            </w:r>
          </w:p>
          <w:p w14:paraId="4B8D03EB" w14:textId="77777777" w:rsidR="00A54DA5" w:rsidRPr="00843759" w:rsidRDefault="00BE6EB3"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其他  </w:t>
            </w:r>
          </w:p>
        </w:tc>
      </w:tr>
      <w:tr w:rsidR="00A54DA5" w:rsidRPr="00843759" w14:paraId="4477EA4A" w14:textId="77777777" w:rsidTr="002704C2">
        <w:trPr>
          <w:trHeight w:val="202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E3099A"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A3216">
              <w:rPr>
                <w:rFonts w:ascii="宋体" w:eastAsia="宋体" w:hAnsi="宋体" w:cs="宋体"/>
                <w:b/>
                <w:color w:val="auto"/>
                <w:sz w:val="24"/>
                <w:szCs w:val="24"/>
              </w:rPr>
              <w:t>参与单位</w:t>
            </w:r>
            <w:r w:rsidR="00595828" w:rsidRPr="008A3216">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14:paraId="5DFEC2CF" w14:textId="40A02804" w:rsidR="00283172" w:rsidRDefault="00451501" w:rsidP="00283172">
            <w:pPr>
              <w:snapToGrid w:val="0"/>
              <w:spacing w:after="0" w:line="360" w:lineRule="auto"/>
              <w:rPr>
                <w:rFonts w:ascii="宋体" w:eastAsia="宋体" w:hAnsi="宋体"/>
                <w:sz w:val="24"/>
                <w:szCs w:val="24"/>
              </w:rPr>
            </w:pPr>
            <w:r>
              <w:rPr>
                <w:rFonts w:ascii="宋体" w:eastAsia="宋体" w:hAnsi="宋体" w:hint="eastAsia"/>
                <w:sz w:val="24"/>
                <w:szCs w:val="24"/>
              </w:rPr>
              <w:t>中欧基金投资总监、基金经理</w:t>
            </w:r>
            <w:r w:rsidR="00C56141">
              <w:rPr>
                <w:rFonts w:ascii="宋体" w:eastAsia="宋体" w:hAnsi="宋体" w:hint="eastAsia"/>
                <w:sz w:val="24"/>
                <w:szCs w:val="24"/>
              </w:rPr>
              <w:t>：</w:t>
            </w:r>
            <w:r>
              <w:rPr>
                <w:rFonts w:ascii="宋体" w:eastAsia="宋体" w:hAnsi="宋体" w:hint="eastAsia"/>
                <w:sz w:val="24"/>
                <w:szCs w:val="24"/>
              </w:rPr>
              <w:t>周应波</w:t>
            </w:r>
          </w:p>
          <w:p w14:paraId="05D3DB93" w14:textId="60B42EA6" w:rsidR="00C56141" w:rsidRDefault="00451501" w:rsidP="00283172">
            <w:pPr>
              <w:snapToGrid w:val="0"/>
              <w:spacing w:after="0" w:line="360" w:lineRule="auto"/>
              <w:rPr>
                <w:rFonts w:ascii="宋体" w:eastAsia="宋体" w:hAnsi="宋体"/>
                <w:sz w:val="24"/>
                <w:szCs w:val="24"/>
              </w:rPr>
            </w:pPr>
            <w:r>
              <w:rPr>
                <w:rFonts w:ascii="宋体" w:eastAsia="宋体" w:hAnsi="宋体" w:hint="eastAsia"/>
                <w:sz w:val="24"/>
                <w:szCs w:val="24"/>
              </w:rPr>
              <w:t>中欧基金投资经理</w:t>
            </w:r>
            <w:r w:rsidR="00C56141">
              <w:rPr>
                <w:rFonts w:ascii="宋体" w:eastAsia="宋体" w:hAnsi="宋体" w:hint="eastAsia"/>
                <w:sz w:val="24"/>
                <w:szCs w:val="24"/>
              </w:rPr>
              <w:t>：</w:t>
            </w:r>
            <w:r>
              <w:rPr>
                <w:rFonts w:ascii="宋体" w:eastAsia="宋体" w:hAnsi="宋体" w:hint="eastAsia"/>
                <w:sz w:val="24"/>
                <w:szCs w:val="24"/>
              </w:rPr>
              <w:t>刘伟伟</w:t>
            </w:r>
          </w:p>
          <w:p w14:paraId="72425E91" w14:textId="60CD3A23" w:rsidR="00C56141" w:rsidRDefault="00451501" w:rsidP="00283172">
            <w:pPr>
              <w:snapToGrid w:val="0"/>
              <w:spacing w:after="0" w:line="360" w:lineRule="auto"/>
              <w:rPr>
                <w:rFonts w:ascii="宋体" w:eastAsia="宋体" w:hAnsi="宋体"/>
                <w:sz w:val="24"/>
                <w:szCs w:val="24"/>
              </w:rPr>
            </w:pPr>
            <w:r>
              <w:rPr>
                <w:rFonts w:ascii="宋体" w:eastAsia="宋体" w:hAnsi="宋体" w:hint="eastAsia"/>
                <w:sz w:val="24"/>
                <w:szCs w:val="24"/>
              </w:rPr>
              <w:t>中欧基金研究员：钟鸣、汤洁、沈少波</w:t>
            </w:r>
          </w:p>
          <w:p w14:paraId="3C3C39B1" w14:textId="327AC374" w:rsidR="00435B6D"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睿远基金高级研究员：陈术子、胡大林</w:t>
            </w:r>
          </w:p>
          <w:p w14:paraId="31D180CD" w14:textId="38990A2E" w:rsidR="00435B6D"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中信证券研究员：刘海博</w:t>
            </w:r>
          </w:p>
          <w:p w14:paraId="493E8851" w14:textId="2AA9092B" w:rsidR="00451501"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兴全基金研究员：李扬</w:t>
            </w:r>
          </w:p>
          <w:p w14:paraId="46DEB47B" w14:textId="672CA1EE" w:rsidR="00435B6D"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承珞资本研究员：彭志松</w:t>
            </w:r>
          </w:p>
          <w:p w14:paraId="41414953" w14:textId="77777777" w:rsidR="00435B6D"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于翼资产高级研究员：郭晓萱</w:t>
            </w:r>
          </w:p>
          <w:p w14:paraId="4E3913D6" w14:textId="77777777" w:rsidR="00435B6D"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凯银投资执行董事兼总经理：林中鹤</w:t>
            </w:r>
          </w:p>
          <w:p w14:paraId="276ABA40" w14:textId="52FD770E" w:rsidR="00435B6D" w:rsidRPr="000C06D7" w:rsidRDefault="00435B6D" w:rsidP="00283172">
            <w:pPr>
              <w:snapToGrid w:val="0"/>
              <w:spacing w:after="0" w:line="360" w:lineRule="auto"/>
              <w:rPr>
                <w:rFonts w:ascii="宋体" w:eastAsia="宋体" w:hAnsi="宋体"/>
                <w:sz w:val="24"/>
                <w:szCs w:val="24"/>
              </w:rPr>
            </w:pPr>
            <w:r>
              <w:rPr>
                <w:rFonts w:ascii="宋体" w:eastAsia="宋体" w:hAnsi="宋体" w:hint="eastAsia"/>
                <w:sz w:val="24"/>
                <w:szCs w:val="24"/>
              </w:rPr>
              <w:t>永富资本研究员：甘以源</w:t>
            </w:r>
          </w:p>
        </w:tc>
      </w:tr>
      <w:tr w:rsidR="00A54DA5" w:rsidRPr="00843759" w14:paraId="4B388FEF" w14:textId="77777777" w:rsidTr="002A3115">
        <w:trPr>
          <w:trHeight w:val="527"/>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763E5D6" w14:textId="77777777" w:rsidR="00A54DA5" w:rsidRPr="001E7630" w:rsidRDefault="001E7630" w:rsidP="001E7630">
            <w:pPr>
              <w:snapToGrid w:val="0"/>
              <w:spacing w:after="0" w:line="360" w:lineRule="auto"/>
              <w:ind w:firstLineChars="300" w:firstLine="723"/>
              <w:rPr>
                <w:rFonts w:ascii="宋体" w:eastAsia="宋体" w:hAnsi="宋体"/>
                <w:b/>
                <w:bCs/>
                <w:sz w:val="24"/>
                <w:szCs w:val="24"/>
              </w:rPr>
            </w:pPr>
            <w:r>
              <w:rPr>
                <w:rFonts w:ascii="宋体" w:eastAsia="宋体" w:hAnsi="宋体" w:hint="eastAsia"/>
                <w:b/>
                <w:bCs/>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center"/>
          </w:tcPr>
          <w:p w14:paraId="5E750B1F" w14:textId="4043C775"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sidR="00AE3476">
              <w:rPr>
                <w:rFonts w:ascii="宋体" w:eastAsia="宋体" w:hAnsi="宋体" w:hint="eastAsia"/>
                <w:sz w:val="24"/>
                <w:szCs w:val="24"/>
              </w:rPr>
              <w:t>20</w:t>
            </w:r>
            <w:r w:rsidRPr="00843759">
              <w:rPr>
                <w:rFonts w:ascii="宋体" w:eastAsia="宋体" w:hAnsi="宋体" w:hint="eastAsia"/>
                <w:sz w:val="24"/>
                <w:szCs w:val="24"/>
              </w:rPr>
              <w:t>年</w:t>
            </w:r>
            <w:r w:rsidR="00C56141">
              <w:rPr>
                <w:rFonts w:ascii="宋体" w:eastAsia="宋体" w:hAnsi="宋体" w:hint="eastAsia"/>
                <w:sz w:val="24"/>
                <w:szCs w:val="24"/>
              </w:rPr>
              <w:t>6</w:t>
            </w:r>
            <w:r>
              <w:rPr>
                <w:rFonts w:ascii="宋体" w:eastAsia="宋体" w:hAnsi="宋体" w:hint="eastAsia"/>
                <w:sz w:val="24"/>
                <w:szCs w:val="24"/>
              </w:rPr>
              <w:t>月</w:t>
            </w:r>
            <w:r w:rsidR="00C56141">
              <w:rPr>
                <w:rFonts w:ascii="宋体" w:eastAsia="宋体" w:hAnsi="宋体" w:hint="eastAsia"/>
                <w:sz w:val="24"/>
                <w:szCs w:val="24"/>
              </w:rPr>
              <w:t>1</w:t>
            </w:r>
            <w:r w:rsidR="00435B6D">
              <w:rPr>
                <w:rFonts w:ascii="宋体" w:eastAsia="宋体" w:hAnsi="宋体" w:hint="eastAsia"/>
                <w:sz w:val="24"/>
                <w:szCs w:val="24"/>
              </w:rPr>
              <w:t>9</w:t>
            </w:r>
            <w:r>
              <w:rPr>
                <w:rFonts w:ascii="宋体" w:eastAsia="宋体" w:hAnsi="宋体" w:hint="eastAsia"/>
                <w:sz w:val="24"/>
                <w:szCs w:val="24"/>
              </w:rPr>
              <w:t>日</w:t>
            </w:r>
          </w:p>
        </w:tc>
      </w:tr>
      <w:tr w:rsidR="00A54DA5" w:rsidRPr="00843759" w14:paraId="292C925E"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3F69E56"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14:paraId="37253344" w14:textId="745D19C6" w:rsidR="00A54DA5" w:rsidRPr="00843759" w:rsidRDefault="00595828"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公司会议室</w:t>
            </w:r>
          </w:p>
        </w:tc>
      </w:tr>
      <w:tr w:rsidR="00A54DA5" w:rsidRPr="00843759" w14:paraId="740F4F3C" w14:textId="77777777" w:rsidTr="001E7630">
        <w:trPr>
          <w:trHeight w:val="63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2DF7F1BF"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14:paraId="182C10E2" w14:textId="44218664" w:rsidR="00C56141" w:rsidRDefault="00C56141" w:rsidP="00843759">
            <w:pPr>
              <w:snapToGrid w:val="0"/>
              <w:spacing w:after="0" w:line="360" w:lineRule="auto"/>
              <w:rPr>
                <w:rFonts w:ascii="宋体" w:eastAsia="宋体" w:hAnsi="宋体"/>
                <w:sz w:val="24"/>
                <w:szCs w:val="24"/>
              </w:rPr>
            </w:pPr>
            <w:r>
              <w:rPr>
                <w:rFonts w:ascii="宋体" w:eastAsia="宋体" w:hAnsi="宋体" w:hint="eastAsia"/>
                <w:sz w:val="24"/>
                <w:szCs w:val="24"/>
              </w:rPr>
              <w:t>董事、副总经理：桑宏宇</w:t>
            </w:r>
          </w:p>
          <w:p w14:paraId="13991D8C" w14:textId="34255B4B" w:rsidR="00F14E77" w:rsidRPr="00843759" w:rsidRDefault="007323AE" w:rsidP="00843759">
            <w:pPr>
              <w:snapToGrid w:val="0"/>
              <w:spacing w:after="0" w:line="360" w:lineRule="auto"/>
              <w:rPr>
                <w:rFonts w:ascii="宋体" w:eastAsia="宋体" w:hAnsi="宋体"/>
                <w:sz w:val="24"/>
                <w:szCs w:val="24"/>
              </w:rPr>
            </w:pPr>
            <w:r>
              <w:rPr>
                <w:rFonts w:ascii="宋体" w:eastAsia="宋体" w:hAnsi="宋体" w:hint="eastAsia"/>
                <w:sz w:val="24"/>
                <w:szCs w:val="24"/>
              </w:rPr>
              <w:t>财务总监、董事会秘书</w:t>
            </w:r>
            <w:r w:rsidR="00AE3476">
              <w:rPr>
                <w:rFonts w:ascii="宋体" w:eastAsia="宋体" w:hAnsi="宋体" w:hint="eastAsia"/>
                <w:sz w:val="24"/>
                <w:szCs w:val="24"/>
              </w:rPr>
              <w:t>：</w:t>
            </w:r>
            <w:r>
              <w:rPr>
                <w:rFonts w:ascii="宋体" w:eastAsia="宋体" w:hAnsi="宋体" w:hint="eastAsia"/>
                <w:sz w:val="24"/>
                <w:szCs w:val="24"/>
              </w:rPr>
              <w:t>傅风华</w:t>
            </w:r>
          </w:p>
        </w:tc>
      </w:tr>
      <w:tr w:rsidR="00595828" w:rsidRPr="00843759" w14:paraId="7EE07C16"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A5FA6AA" w14:textId="77777777"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14:paraId="12897099" w14:textId="77777777" w:rsidR="00E105E4" w:rsidRPr="008A3216" w:rsidRDefault="00E105E4" w:rsidP="00674A2B">
            <w:pPr>
              <w:snapToGrid w:val="0"/>
              <w:spacing w:after="0" w:line="360" w:lineRule="auto"/>
              <w:jc w:val="both"/>
              <w:rPr>
                <w:rFonts w:ascii="宋体" w:eastAsia="宋体" w:hAnsi="宋体" w:cs="宋体"/>
                <w:b/>
                <w:color w:val="auto"/>
                <w:sz w:val="24"/>
                <w:szCs w:val="24"/>
              </w:rPr>
            </w:pPr>
            <w:r w:rsidRPr="008A3216">
              <w:rPr>
                <w:rFonts w:ascii="宋体" w:eastAsia="宋体" w:hAnsi="宋体" w:cs="宋体" w:hint="eastAsia"/>
                <w:b/>
                <w:color w:val="auto"/>
                <w:sz w:val="24"/>
                <w:szCs w:val="24"/>
              </w:rPr>
              <w:t>第一部分、介绍公司基本情况</w:t>
            </w:r>
          </w:p>
          <w:p w14:paraId="3DB150D5" w14:textId="77777777" w:rsidR="002D0456" w:rsidRDefault="00F14E77" w:rsidP="00674A2B">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杭可科技</w:t>
            </w:r>
            <w:r w:rsidRPr="00F14E77">
              <w:rPr>
                <w:rFonts w:ascii="宋体" w:eastAsia="宋体" w:hAnsi="宋体" w:cs="宋体" w:hint="eastAsia"/>
                <w:sz w:val="24"/>
                <w:szCs w:val="24"/>
              </w:rPr>
              <w:t>始终致力于各类可充</w:t>
            </w:r>
            <w:r>
              <w:rPr>
                <w:rFonts w:ascii="宋体" w:eastAsia="宋体" w:hAnsi="宋体" w:cs="宋体" w:hint="eastAsia"/>
                <w:sz w:val="24"/>
                <w:szCs w:val="24"/>
              </w:rPr>
              <w:t>电</w:t>
            </w:r>
            <w:r w:rsidRPr="00F14E77">
              <w:rPr>
                <w:rFonts w:ascii="宋体" w:eastAsia="宋体" w:hAnsi="宋体" w:cs="宋体" w:hint="eastAsia"/>
                <w:sz w:val="24"/>
                <w:szCs w:val="24"/>
              </w:rPr>
              <w:t>电池，特别是锂离子</w:t>
            </w:r>
            <w:r>
              <w:rPr>
                <w:rFonts w:ascii="宋体" w:eastAsia="宋体" w:hAnsi="宋体" w:cs="宋体" w:hint="eastAsia"/>
                <w:sz w:val="24"/>
                <w:szCs w:val="24"/>
              </w:rPr>
              <w:t>电池</w:t>
            </w:r>
            <w:r w:rsidRPr="00F14E77">
              <w:rPr>
                <w:rFonts w:ascii="宋体" w:eastAsia="宋体" w:hAnsi="宋体" w:cs="宋体" w:hint="eastAsia"/>
                <w:sz w:val="24"/>
                <w:szCs w:val="24"/>
              </w:rPr>
              <w:t>的后处理系统的设计、研发</w:t>
            </w:r>
            <w:r>
              <w:rPr>
                <w:rFonts w:ascii="宋体" w:eastAsia="宋体" w:hAnsi="宋体" w:cs="宋体" w:hint="eastAsia"/>
                <w:sz w:val="24"/>
                <w:szCs w:val="24"/>
              </w:rPr>
              <w:t>、</w:t>
            </w:r>
            <w:r w:rsidRPr="00F14E77">
              <w:rPr>
                <w:rFonts w:ascii="宋体" w:eastAsia="宋体" w:hAnsi="宋体" w:cs="宋体" w:hint="eastAsia"/>
                <w:sz w:val="24"/>
                <w:szCs w:val="24"/>
              </w:rPr>
              <w:t>生产与销售，目前在充放电机</w:t>
            </w:r>
            <w:r>
              <w:rPr>
                <w:rFonts w:ascii="宋体" w:eastAsia="宋体" w:hAnsi="宋体" w:cs="宋体" w:hint="eastAsia"/>
                <w:sz w:val="24"/>
                <w:szCs w:val="24"/>
              </w:rPr>
              <w:t>、</w:t>
            </w:r>
            <w:r w:rsidRPr="00F14E77">
              <w:rPr>
                <w:rFonts w:ascii="宋体" w:eastAsia="宋体" w:hAnsi="宋体" w:cs="宋体" w:hint="eastAsia"/>
                <w:sz w:val="24"/>
                <w:szCs w:val="24"/>
              </w:rPr>
              <w:t>内阻测试仪等后处理系统核心设备的研发、生产方面拥有核心技术和能力，并</w:t>
            </w:r>
            <w:r>
              <w:rPr>
                <w:rFonts w:ascii="宋体" w:eastAsia="宋体" w:hAnsi="宋体" w:cs="宋体" w:hint="eastAsia"/>
                <w:sz w:val="24"/>
                <w:szCs w:val="24"/>
              </w:rPr>
              <w:t>能</w:t>
            </w:r>
            <w:r w:rsidRPr="00F14E77">
              <w:rPr>
                <w:rFonts w:ascii="宋体" w:eastAsia="宋体" w:hAnsi="宋体" w:cs="宋体" w:hint="eastAsia"/>
                <w:sz w:val="24"/>
                <w:szCs w:val="24"/>
              </w:rPr>
              <w:t>提供锂离子电池</w:t>
            </w:r>
            <w:r>
              <w:rPr>
                <w:rFonts w:ascii="宋体" w:eastAsia="宋体" w:hAnsi="宋体" w:cs="宋体" w:hint="eastAsia"/>
                <w:sz w:val="24"/>
                <w:szCs w:val="24"/>
              </w:rPr>
              <w:t>生产</w:t>
            </w:r>
            <w:r w:rsidRPr="00F14E77">
              <w:rPr>
                <w:rFonts w:ascii="宋体" w:eastAsia="宋体" w:hAnsi="宋体" w:cs="宋体" w:hint="eastAsia"/>
                <w:sz w:val="24"/>
                <w:szCs w:val="24"/>
              </w:rPr>
              <w:t>线后处理系统整体解决方案。</w:t>
            </w:r>
          </w:p>
          <w:p w14:paraId="5676DE82" w14:textId="77777777" w:rsidR="00E105E4" w:rsidRPr="00301D5F" w:rsidRDefault="00E105E4" w:rsidP="00674A2B">
            <w:pPr>
              <w:snapToGrid w:val="0"/>
              <w:spacing w:after="0" w:line="360" w:lineRule="auto"/>
              <w:jc w:val="both"/>
              <w:rPr>
                <w:rFonts w:ascii="宋体" w:eastAsia="宋体" w:hAnsi="宋体" w:cs="宋体"/>
                <w:b/>
                <w:sz w:val="24"/>
                <w:szCs w:val="24"/>
              </w:rPr>
            </w:pPr>
            <w:r w:rsidRPr="00301D5F">
              <w:rPr>
                <w:rFonts w:ascii="宋体" w:eastAsia="宋体" w:hAnsi="宋体" w:cs="宋体" w:hint="eastAsia"/>
                <w:b/>
                <w:sz w:val="24"/>
                <w:szCs w:val="24"/>
              </w:rPr>
              <w:t>第二部分、</w:t>
            </w:r>
            <w:r w:rsidR="00301D5F" w:rsidRPr="00301D5F">
              <w:rPr>
                <w:rFonts w:ascii="宋体" w:eastAsia="宋体" w:hAnsi="宋体" w:cs="宋体" w:hint="eastAsia"/>
                <w:b/>
                <w:sz w:val="24"/>
                <w:szCs w:val="24"/>
              </w:rPr>
              <w:t>提问回答</w:t>
            </w:r>
          </w:p>
          <w:p w14:paraId="294306FB" w14:textId="0CEBC608" w:rsidR="00864D27" w:rsidRPr="00864D27" w:rsidRDefault="00312BFB" w:rsidP="00864D27">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lastRenderedPageBreak/>
              <w:t>Ｑ</w:t>
            </w:r>
            <w:r>
              <w:rPr>
                <w:rFonts w:ascii="宋体" w:eastAsia="宋体" w:hAnsi="宋体" w:cs="宋体" w:hint="eastAsia"/>
                <w:sz w:val="24"/>
                <w:szCs w:val="24"/>
              </w:rPr>
              <w:t>１</w:t>
            </w:r>
            <w:r w:rsidR="00595828" w:rsidRPr="00312BFB">
              <w:rPr>
                <w:rFonts w:ascii="宋体" w:eastAsia="宋体" w:hAnsi="宋体" w:cs="宋体"/>
                <w:sz w:val="24"/>
                <w:szCs w:val="24"/>
              </w:rPr>
              <w:t>:</w:t>
            </w:r>
            <w:r w:rsidR="00435B6D" w:rsidRPr="00435B6D">
              <w:rPr>
                <w:rFonts w:ascii="宋体" w:eastAsia="宋体" w:hAnsi="宋体" w:cs="宋体" w:hint="eastAsia"/>
                <w:sz w:val="24"/>
                <w:szCs w:val="24"/>
              </w:rPr>
              <w:t>请简要介绍一下公司的生产模式？</w:t>
            </w:r>
          </w:p>
          <w:p w14:paraId="1BB4B8D4" w14:textId="05A70428" w:rsidR="00956BF8" w:rsidRPr="00956BF8" w:rsidRDefault="00864D27" w:rsidP="00956BF8">
            <w:pPr>
              <w:snapToGrid w:val="0"/>
              <w:spacing w:after="0" w:line="360" w:lineRule="auto"/>
              <w:jc w:val="both"/>
              <w:rPr>
                <w:rFonts w:ascii="宋体" w:eastAsia="宋体" w:hAnsi="宋体" w:cs="宋体"/>
                <w:sz w:val="24"/>
                <w:szCs w:val="24"/>
              </w:rPr>
            </w:pPr>
            <w:r w:rsidRPr="00864D27">
              <w:rPr>
                <w:rFonts w:ascii="宋体" w:eastAsia="宋体" w:hAnsi="宋体" w:cs="宋体" w:hint="eastAsia"/>
                <w:sz w:val="24"/>
                <w:szCs w:val="24"/>
              </w:rPr>
              <w:t>Ａ：您好</w:t>
            </w:r>
            <w:r w:rsidR="0023201F">
              <w:rPr>
                <w:rFonts w:ascii="宋体" w:eastAsia="宋体" w:hAnsi="宋体" w:cs="宋体" w:hint="eastAsia"/>
                <w:sz w:val="24"/>
                <w:szCs w:val="24"/>
              </w:rPr>
              <w:t>，</w:t>
            </w:r>
            <w:r w:rsidR="00435B6D" w:rsidRPr="00435B6D">
              <w:rPr>
                <w:rFonts w:ascii="宋体" w:eastAsia="宋体" w:hAnsi="宋体" w:cs="宋体" w:hint="eastAsia"/>
                <w:sz w:val="24"/>
                <w:szCs w:val="24"/>
              </w:rPr>
              <w:t>公司产品为非标准设备，大部分需要根据客户要求进行开发设计和生产，所以公司的生产计划根据销售订单确定，基本做到以销定产。公司引进了数控、程控加工设备和</w:t>
            </w:r>
            <w:r w:rsidR="00435B6D" w:rsidRPr="00435B6D">
              <w:rPr>
                <w:rFonts w:ascii="宋体" w:eastAsia="宋体" w:hAnsi="宋体" w:cs="宋体"/>
                <w:sz w:val="24"/>
                <w:szCs w:val="24"/>
              </w:rPr>
              <w:t xml:space="preserve"> ERP </w:t>
            </w:r>
            <w:r w:rsidR="00435B6D" w:rsidRPr="00435B6D">
              <w:rPr>
                <w:rFonts w:ascii="宋体" w:eastAsia="宋体" w:hAnsi="宋体" w:cs="宋体" w:hint="eastAsia"/>
                <w:sz w:val="24"/>
                <w:szCs w:val="24"/>
              </w:rPr>
              <w:t>软件等管理软件，对成本管理、加工工艺等进行现代化管理，有助于提高公司整体管理水平及生产效率。公司产品生产全过程由多个部门协调完成，通过</w:t>
            </w:r>
            <w:r w:rsidR="00435B6D" w:rsidRPr="00435B6D">
              <w:rPr>
                <w:rFonts w:ascii="宋体" w:eastAsia="宋体" w:hAnsi="宋体" w:cs="宋体"/>
                <w:sz w:val="24"/>
                <w:szCs w:val="24"/>
              </w:rPr>
              <w:t>ERP</w:t>
            </w:r>
            <w:r w:rsidR="00435B6D" w:rsidRPr="00435B6D">
              <w:rPr>
                <w:rFonts w:ascii="宋体" w:eastAsia="宋体" w:hAnsi="宋体" w:cs="宋体" w:hint="eastAsia"/>
                <w:sz w:val="24"/>
                <w:szCs w:val="24"/>
              </w:rPr>
              <w:t>系统的管理与相应的文件在不同部门间流转，有效控制了产品的生产进度、工艺规格、数量品质等满足订单要求，保证产品及时交付客户。</w:t>
            </w:r>
          </w:p>
          <w:p w14:paraId="5331FED6" w14:textId="77777777" w:rsidR="00864D27" w:rsidRDefault="00864D27" w:rsidP="00A74B63">
            <w:pPr>
              <w:snapToGrid w:val="0"/>
              <w:spacing w:after="0" w:line="360" w:lineRule="auto"/>
              <w:jc w:val="both"/>
              <w:rPr>
                <w:rFonts w:ascii="宋体" w:eastAsia="宋体" w:hAnsi="宋体" w:cs="宋体"/>
                <w:sz w:val="24"/>
                <w:szCs w:val="24"/>
              </w:rPr>
            </w:pPr>
          </w:p>
          <w:p w14:paraId="400A3B2C" w14:textId="36A394EE" w:rsidR="003A1A21" w:rsidRPr="003A1A21" w:rsidRDefault="00312BFB" w:rsidP="003A1A21">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Ｑ２：</w:t>
            </w:r>
            <w:r w:rsidR="00DA4C2A" w:rsidRPr="00DA4C2A">
              <w:rPr>
                <w:rFonts w:ascii="宋体" w:eastAsia="宋体" w:hAnsi="宋体" w:cs="宋体" w:hint="eastAsia"/>
                <w:sz w:val="24"/>
                <w:szCs w:val="24"/>
              </w:rPr>
              <w:t>请问公司技术方面的竞争优势有哪些</w:t>
            </w:r>
            <w:r w:rsidR="00DA4C2A">
              <w:rPr>
                <w:rFonts w:ascii="宋体" w:eastAsia="宋体" w:hAnsi="宋体" w:cs="宋体" w:hint="eastAsia"/>
                <w:sz w:val="24"/>
                <w:szCs w:val="24"/>
              </w:rPr>
              <w:t>？</w:t>
            </w:r>
          </w:p>
          <w:p w14:paraId="2ED06DDE" w14:textId="6091CE45" w:rsidR="00365953" w:rsidRDefault="003A1A21" w:rsidP="00674A2B">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8416E3" w:rsidRPr="008416E3">
              <w:rPr>
                <w:rFonts w:ascii="宋体" w:eastAsia="宋体" w:hAnsi="宋体" w:cs="宋体" w:hint="eastAsia"/>
                <w:sz w:val="24"/>
                <w:szCs w:val="24"/>
              </w:rPr>
              <w:t>您好，</w:t>
            </w:r>
            <w:r w:rsidR="00DA4C2A" w:rsidRPr="00DA4C2A">
              <w:rPr>
                <w:rFonts w:ascii="宋体" w:eastAsia="宋体" w:hAnsi="宋体" w:cs="宋体" w:hint="eastAsia"/>
                <w:sz w:val="24"/>
                <w:szCs w:val="24"/>
              </w:rPr>
              <w:t>公司技术竞争优势主要体现为：（</w:t>
            </w:r>
            <w:r w:rsidR="00DA4C2A" w:rsidRPr="00DA4C2A">
              <w:rPr>
                <w:rFonts w:ascii="宋体" w:eastAsia="宋体" w:hAnsi="宋体" w:cs="宋体"/>
                <w:sz w:val="24"/>
                <w:szCs w:val="24"/>
              </w:rPr>
              <w:t>1</w:t>
            </w:r>
            <w:r w:rsidR="00DA4C2A" w:rsidRPr="00DA4C2A">
              <w:rPr>
                <w:rFonts w:ascii="宋体" w:eastAsia="宋体" w:hAnsi="宋体" w:cs="宋体" w:hint="eastAsia"/>
                <w:sz w:val="24"/>
                <w:szCs w:val="24"/>
              </w:rPr>
              <w:t>）设备安全性及稳定性良好，</w:t>
            </w:r>
            <w:r w:rsidR="000D1CF0">
              <w:rPr>
                <w:rFonts w:ascii="宋体" w:eastAsia="宋体" w:hAnsi="宋体" w:cs="宋体" w:hint="eastAsia"/>
                <w:sz w:val="24"/>
                <w:szCs w:val="24"/>
              </w:rPr>
              <w:t>公司</w:t>
            </w:r>
            <w:r w:rsidR="00DA4C2A" w:rsidRPr="00DA4C2A">
              <w:rPr>
                <w:rFonts w:ascii="宋体" w:eastAsia="宋体" w:hAnsi="宋体" w:cs="宋体" w:hint="eastAsia"/>
                <w:sz w:val="24"/>
                <w:szCs w:val="24"/>
              </w:rPr>
              <w:t>专注于充放电设备的安全保护技术，防止锂离子电池在过充、过放、过流、过热或短路的情况下造成的损毁或安全事故；（</w:t>
            </w:r>
            <w:r w:rsidR="00DA4C2A" w:rsidRPr="00DA4C2A">
              <w:rPr>
                <w:rFonts w:ascii="宋体" w:eastAsia="宋体" w:hAnsi="宋体" w:cs="宋体"/>
                <w:sz w:val="24"/>
                <w:szCs w:val="24"/>
              </w:rPr>
              <w:t>2</w:t>
            </w:r>
            <w:r w:rsidR="00DA4C2A" w:rsidRPr="00DA4C2A">
              <w:rPr>
                <w:rFonts w:ascii="宋体" w:eastAsia="宋体" w:hAnsi="宋体" w:cs="宋体" w:hint="eastAsia"/>
                <w:sz w:val="24"/>
                <w:szCs w:val="24"/>
              </w:rPr>
              <w:t>）精度控制能力强，</w:t>
            </w:r>
            <w:r w:rsidR="000D1CF0">
              <w:rPr>
                <w:rFonts w:ascii="宋体" w:eastAsia="宋体" w:hAnsi="宋体" w:cs="宋体" w:hint="eastAsia"/>
                <w:sz w:val="24"/>
                <w:szCs w:val="24"/>
              </w:rPr>
              <w:t>公司</w:t>
            </w:r>
            <w:r w:rsidR="00DA4C2A" w:rsidRPr="00DA4C2A">
              <w:rPr>
                <w:rFonts w:ascii="宋体" w:eastAsia="宋体" w:hAnsi="宋体" w:cs="宋体" w:hint="eastAsia"/>
                <w:sz w:val="24"/>
                <w:szCs w:val="24"/>
              </w:rPr>
              <w:t>专注于充放电控制精度及检测精度的控制与提升，由于每种规格锂离子电池对充放电的电压和电流要求都有差别，是否准确地按照设定的电压</w:t>
            </w:r>
            <w:r w:rsidR="00DA4C2A" w:rsidRPr="00DA4C2A">
              <w:rPr>
                <w:rFonts w:ascii="宋体" w:eastAsia="宋体" w:hAnsi="宋体" w:cs="宋体"/>
                <w:sz w:val="24"/>
                <w:szCs w:val="24"/>
              </w:rPr>
              <w:t>/</w:t>
            </w:r>
            <w:r w:rsidR="00DA4C2A" w:rsidRPr="00DA4C2A">
              <w:rPr>
                <w:rFonts w:ascii="宋体" w:eastAsia="宋体" w:hAnsi="宋体" w:cs="宋体" w:hint="eastAsia"/>
                <w:sz w:val="24"/>
                <w:szCs w:val="24"/>
              </w:rPr>
              <w:t>电流条件进行充放电极为重要；（</w:t>
            </w:r>
            <w:r w:rsidR="00DA4C2A" w:rsidRPr="00DA4C2A">
              <w:rPr>
                <w:rFonts w:ascii="宋体" w:eastAsia="宋体" w:hAnsi="宋体" w:cs="宋体"/>
                <w:sz w:val="24"/>
                <w:szCs w:val="24"/>
              </w:rPr>
              <w:t>3</w:t>
            </w:r>
            <w:r w:rsidR="00DA4C2A" w:rsidRPr="00DA4C2A">
              <w:rPr>
                <w:rFonts w:ascii="宋体" w:eastAsia="宋体" w:hAnsi="宋体" w:cs="宋体" w:hint="eastAsia"/>
                <w:sz w:val="24"/>
                <w:szCs w:val="24"/>
              </w:rPr>
              <w:t>）节能性能优异，公司专注于锂离子电池后处理系统的能量回收技术；（</w:t>
            </w:r>
            <w:r w:rsidR="00DA4C2A" w:rsidRPr="00DA4C2A">
              <w:rPr>
                <w:rFonts w:ascii="宋体" w:eastAsia="宋体" w:hAnsi="宋体" w:cs="宋体"/>
                <w:sz w:val="24"/>
                <w:szCs w:val="24"/>
              </w:rPr>
              <w:t>4</w:t>
            </w:r>
            <w:r w:rsidR="00DA4C2A" w:rsidRPr="00DA4C2A">
              <w:rPr>
                <w:rFonts w:ascii="宋体" w:eastAsia="宋体" w:hAnsi="宋体" w:cs="宋体" w:hint="eastAsia"/>
                <w:sz w:val="24"/>
                <w:szCs w:val="24"/>
              </w:rPr>
              <w:t>）系统集成与自动化能力突出，公司专注于锂离子电池后处理设备的系统集成与自动化生产。</w:t>
            </w:r>
          </w:p>
          <w:p w14:paraId="6F232FB3" w14:textId="77777777" w:rsidR="008416E3" w:rsidRPr="00312BFB" w:rsidRDefault="008416E3" w:rsidP="00674A2B">
            <w:pPr>
              <w:snapToGrid w:val="0"/>
              <w:spacing w:after="0" w:line="360" w:lineRule="auto"/>
              <w:jc w:val="both"/>
              <w:rPr>
                <w:rFonts w:ascii="宋体" w:eastAsia="宋体" w:hAnsi="宋体"/>
                <w:sz w:val="24"/>
                <w:szCs w:val="24"/>
              </w:rPr>
            </w:pPr>
          </w:p>
          <w:p w14:paraId="0D13B578" w14:textId="5EF19EFA" w:rsidR="00E87677" w:rsidRPr="00E87677" w:rsidRDefault="00312BFB" w:rsidP="00E87677">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Ｑ</w:t>
            </w:r>
            <w:r w:rsidRPr="00312BFB">
              <w:rPr>
                <w:rFonts w:ascii="宋体" w:eastAsia="宋体" w:hAnsi="宋体" w:cs="宋体" w:hint="eastAsia"/>
                <w:sz w:val="24"/>
                <w:szCs w:val="24"/>
              </w:rPr>
              <w:t>３</w:t>
            </w:r>
            <w:r w:rsidR="00595828" w:rsidRPr="00312BFB">
              <w:rPr>
                <w:rFonts w:ascii="宋体" w:eastAsia="宋体" w:hAnsi="宋体" w:cs="宋体"/>
                <w:sz w:val="24"/>
                <w:szCs w:val="24"/>
              </w:rPr>
              <w:t>:</w:t>
            </w:r>
            <w:r w:rsidR="00DA4C2A" w:rsidRPr="00DA4C2A">
              <w:rPr>
                <w:rFonts w:ascii="宋体" w:eastAsia="宋体" w:hAnsi="宋体" w:cs="宋体" w:hint="eastAsia"/>
                <w:sz w:val="24"/>
                <w:szCs w:val="24"/>
              </w:rPr>
              <w:t>请简要介绍后处理工艺中的分容工序，其对电池生产制造过程有何影响？</w:t>
            </w:r>
          </w:p>
          <w:p w14:paraId="5E9CBBF8" w14:textId="2D336DD8" w:rsidR="00E87677" w:rsidRDefault="00E87677" w:rsidP="00DA4C2A">
            <w:pPr>
              <w:snapToGrid w:val="0"/>
              <w:spacing w:after="0" w:line="360" w:lineRule="auto"/>
              <w:jc w:val="both"/>
              <w:rPr>
                <w:rFonts w:ascii="宋体" w:eastAsia="宋体" w:hAnsi="宋体" w:cs="宋体"/>
                <w:sz w:val="24"/>
                <w:szCs w:val="24"/>
              </w:rPr>
            </w:pPr>
            <w:r w:rsidRPr="00E87677">
              <w:rPr>
                <w:rFonts w:ascii="宋体" w:eastAsia="宋体" w:hAnsi="宋体" w:cs="宋体" w:hint="eastAsia"/>
                <w:sz w:val="24"/>
                <w:szCs w:val="24"/>
              </w:rPr>
              <w:t>Ａ：</w:t>
            </w:r>
            <w:r w:rsidR="0023201F">
              <w:rPr>
                <w:rFonts w:ascii="宋体" w:eastAsia="宋体" w:hAnsi="宋体" w:cs="宋体" w:hint="eastAsia"/>
                <w:sz w:val="24"/>
                <w:szCs w:val="24"/>
              </w:rPr>
              <w:t>您好，</w:t>
            </w:r>
            <w:r w:rsidR="00DA4C2A" w:rsidRPr="00DA4C2A">
              <w:rPr>
                <w:rFonts w:ascii="宋体" w:eastAsia="宋体" w:hAnsi="宋体" w:cs="宋体" w:hint="eastAsia"/>
                <w:sz w:val="24"/>
                <w:szCs w:val="24"/>
              </w:rPr>
              <w:t>分容，即“分析容量”，又叫分容测试，就是将化成好的电芯按照设计标准进行充放电，以测量电芯的电容量。分容需要对电芯进行一次完整的充电及放电，计算并记录充放电全过程的电压、电流、恒流充电时间及容量、恒压充电时间及容量、放电时间及容量，充电能量、放电能量、温度等物理量。这些测试数据作为判断电池合格性水平、一致性水平、等级划分、电池配组和制造工艺改善分析等重要环节的基础数据。确保上述数据的准确性、可信赖性是分容设备的最核心任务，在不影响被测电池性能的基础上，真实反映电池性能，避免误测是判断分容设备优劣主</w:t>
            </w:r>
            <w:r w:rsidR="00DA4C2A" w:rsidRPr="00DA4C2A">
              <w:rPr>
                <w:rFonts w:ascii="宋体" w:eastAsia="宋体" w:hAnsi="宋体" w:cs="宋体" w:hint="eastAsia"/>
                <w:sz w:val="24"/>
                <w:szCs w:val="24"/>
              </w:rPr>
              <w:lastRenderedPageBreak/>
              <w:t>要标准之一。因此，分容设备的控制和检测精度、长期稳定性、可靠性、安全性对电池生产制造过程的品质、生产合格率、生产效率和安全生产都具有重大的影响。</w:t>
            </w:r>
          </w:p>
          <w:p w14:paraId="0D26B83B" w14:textId="77777777" w:rsidR="008416E3" w:rsidRPr="00312BFB" w:rsidRDefault="008416E3" w:rsidP="00E87677">
            <w:pPr>
              <w:snapToGrid w:val="0"/>
              <w:spacing w:after="0" w:line="360" w:lineRule="auto"/>
              <w:jc w:val="both"/>
              <w:rPr>
                <w:rFonts w:ascii="宋体" w:eastAsia="宋体" w:hAnsi="宋体" w:cs="宋体"/>
                <w:sz w:val="24"/>
                <w:szCs w:val="24"/>
              </w:rPr>
            </w:pPr>
          </w:p>
          <w:p w14:paraId="3DE40391" w14:textId="48797604" w:rsidR="00755C2A" w:rsidRDefault="00AD5AEE"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Ｑ４：</w:t>
            </w:r>
            <w:r w:rsidR="00DA4C2A" w:rsidRPr="00DA4C2A">
              <w:rPr>
                <w:rFonts w:ascii="宋体" w:eastAsia="宋体" w:hAnsi="宋体" w:cs="宋体" w:hint="eastAsia"/>
                <w:sz w:val="24"/>
                <w:szCs w:val="24"/>
              </w:rPr>
              <w:t>请问目前国内锂离子电池后处理行业的企业现状如何？</w:t>
            </w:r>
          </w:p>
          <w:p w14:paraId="6F69AFC8" w14:textId="236FFB72" w:rsidR="00755C2A" w:rsidRDefault="00755C2A" w:rsidP="008416E3">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956BF8">
              <w:rPr>
                <w:rFonts w:ascii="宋体" w:eastAsia="宋体" w:hAnsi="宋体" w:cs="宋体" w:hint="eastAsia"/>
                <w:sz w:val="24"/>
                <w:szCs w:val="24"/>
              </w:rPr>
              <w:t>您好，</w:t>
            </w:r>
            <w:r w:rsidR="00DA4C2A" w:rsidRPr="00DA4C2A">
              <w:rPr>
                <w:rFonts w:ascii="宋体" w:eastAsia="宋体" w:hAnsi="宋体" w:cs="宋体" w:hint="eastAsia"/>
                <w:sz w:val="24"/>
                <w:szCs w:val="24"/>
              </w:rPr>
              <w:t>目前，我国锂离子电池后处理行业中具备建设整个后处理系统能力的企业并不多，大多数企业仅能被动根据客户要求提供充放电机及其他设备，很少有完整后处理系统设计、集成方面的能力和实践，对集合了机械、电子、电气、材料、信息、自动控制等方面的自动化物流设备，更是缺少经验。行业内具备较强的产品自主研发、后处理系统设计和集成能力，从而能够为客户提供多样化产品和整体解决方案的企业仍然为数较少。</w:t>
            </w:r>
          </w:p>
          <w:p w14:paraId="44899141" w14:textId="77777777" w:rsidR="00755C2A" w:rsidRPr="00755C2A" w:rsidRDefault="00755C2A" w:rsidP="00A2032F">
            <w:pPr>
              <w:snapToGrid w:val="0"/>
              <w:spacing w:after="0" w:line="360" w:lineRule="auto"/>
              <w:jc w:val="both"/>
              <w:rPr>
                <w:rFonts w:ascii="宋体" w:eastAsia="宋体" w:hAnsi="宋体" w:cs="宋体"/>
                <w:sz w:val="24"/>
                <w:szCs w:val="24"/>
              </w:rPr>
            </w:pPr>
          </w:p>
          <w:p w14:paraId="6C963F5B" w14:textId="72392B41" w:rsidR="00E87677" w:rsidRDefault="00312BFB"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sidR="008E6FFF">
              <w:rPr>
                <w:rFonts w:ascii="宋体" w:eastAsia="宋体" w:hAnsi="宋体" w:cs="宋体" w:hint="eastAsia"/>
                <w:sz w:val="24"/>
                <w:szCs w:val="24"/>
              </w:rPr>
              <w:t>5</w:t>
            </w:r>
            <w:r w:rsidRPr="00312BFB">
              <w:rPr>
                <w:rFonts w:ascii="宋体" w:eastAsia="宋体" w:hAnsi="宋体" w:cs="宋体" w:hint="eastAsia"/>
                <w:sz w:val="24"/>
                <w:szCs w:val="24"/>
              </w:rPr>
              <w:t>：</w:t>
            </w:r>
            <w:r w:rsidR="00DA4C2A" w:rsidRPr="00DA4C2A">
              <w:rPr>
                <w:rFonts w:ascii="宋体" w:eastAsia="宋体" w:hAnsi="宋体" w:cs="宋体" w:hint="eastAsia"/>
                <w:sz w:val="24"/>
                <w:szCs w:val="24"/>
              </w:rPr>
              <w:t>请问公司未来的业务开拓计划是怎样的？</w:t>
            </w:r>
          </w:p>
          <w:p w14:paraId="5B09709B" w14:textId="15A60F6D" w:rsidR="009C480E" w:rsidRDefault="00A2032F" w:rsidP="00674A2B">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C81363" w:rsidRPr="00C81363">
              <w:rPr>
                <w:rFonts w:ascii="宋体" w:eastAsia="宋体" w:hAnsi="宋体" w:cs="宋体" w:hint="eastAsia"/>
                <w:sz w:val="24"/>
                <w:szCs w:val="24"/>
              </w:rPr>
              <w:t>您好，</w:t>
            </w:r>
            <w:r w:rsidR="00DA4C2A" w:rsidRPr="00DA4C2A">
              <w:rPr>
                <w:rFonts w:ascii="宋体" w:eastAsia="宋体" w:hAnsi="宋体" w:cs="宋体" w:hint="eastAsia"/>
                <w:sz w:val="24"/>
                <w:szCs w:val="24"/>
              </w:rPr>
              <w:t>公司已建立了一套较为完善的营销网络，与国内外众多企业建立了良好的合作关系。未来，公司将进一步加大市场开拓力度，建立以技术领先、价格合理、质量可靠、服务上乘为支撑的销售网络，加强对客户的跟踪和服务。此外，公司还将继续加大新产品、新技术的研发力度，不断提高产品的技术含量，从根本上巩固和加强公司产品在国内外市场上的竞争优势。</w:t>
            </w:r>
          </w:p>
          <w:p w14:paraId="6F42EBFC" w14:textId="77777777" w:rsidR="007F6F71" w:rsidRDefault="007F6F71" w:rsidP="003F27F2">
            <w:pPr>
              <w:snapToGrid w:val="0"/>
              <w:spacing w:after="0" w:line="360" w:lineRule="auto"/>
              <w:jc w:val="both"/>
              <w:rPr>
                <w:rFonts w:ascii="宋体" w:eastAsia="宋体" w:hAnsi="宋体" w:cs="宋体"/>
                <w:sz w:val="24"/>
                <w:szCs w:val="24"/>
              </w:rPr>
            </w:pPr>
          </w:p>
          <w:p w14:paraId="55F3A3D1" w14:textId="77777777" w:rsidR="002D0456" w:rsidRPr="00C81363" w:rsidRDefault="00312BFB" w:rsidP="00674A2B">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w:t>
            </w:r>
            <w:r w:rsidR="00674A2B">
              <w:rPr>
                <w:rFonts w:ascii="宋体" w:eastAsia="宋体" w:hAnsi="宋体" w:cs="宋体" w:hint="eastAsia"/>
                <w:sz w:val="24"/>
                <w:szCs w:val="24"/>
              </w:rPr>
              <w:t>媒体采访和投资者调研接待办法</w:t>
            </w:r>
            <w:r w:rsidRPr="00312BFB">
              <w:rPr>
                <w:rFonts w:ascii="宋体" w:eastAsia="宋体" w:hAnsi="宋体" w:cs="宋体" w:hint="eastAsia"/>
                <w:sz w:val="24"/>
                <w:szCs w:val="24"/>
              </w:rPr>
              <w:t>》等规定，保证信息披露的真实、准确、完整、及时、公平。没有出现未公开重大信息泄露等情况，同时要求签署调研《承诺书》。</w:t>
            </w:r>
          </w:p>
        </w:tc>
      </w:tr>
      <w:tr w:rsidR="00595828" w:rsidRPr="00843759" w14:paraId="10062DF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5055F2B"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14:paraId="3A209BCF" w14:textId="77777777"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14:paraId="6135A19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81E276F"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876" w:type="dxa"/>
            <w:tcBorders>
              <w:top w:val="single" w:sz="4" w:space="0" w:color="000000"/>
              <w:left w:val="single" w:sz="4" w:space="0" w:color="000000"/>
              <w:bottom w:val="single" w:sz="4" w:space="0" w:color="000000"/>
              <w:right w:val="single" w:sz="4" w:space="0" w:color="000000"/>
            </w:tcBorders>
            <w:vAlign w:val="bottom"/>
          </w:tcPr>
          <w:p w14:paraId="17DBAAD6" w14:textId="0DD3F1AA" w:rsidR="00595828" w:rsidRPr="00843759" w:rsidRDefault="007F6F71" w:rsidP="00843759">
            <w:pPr>
              <w:snapToGrid w:val="0"/>
              <w:spacing w:after="0" w:line="360" w:lineRule="auto"/>
              <w:rPr>
                <w:rFonts w:ascii="宋体" w:eastAsia="宋体" w:hAnsi="宋体" w:cs="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Pr>
                <w:rFonts w:ascii="宋体" w:eastAsia="宋体" w:hAnsi="宋体" w:hint="eastAsia"/>
                <w:sz w:val="24"/>
                <w:szCs w:val="24"/>
              </w:rPr>
              <w:t>20</w:t>
            </w:r>
            <w:r w:rsidRPr="00843759">
              <w:rPr>
                <w:rFonts w:ascii="宋体" w:eastAsia="宋体" w:hAnsi="宋体" w:hint="eastAsia"/>
                <w:sz w:val="24"/>
                <w:szCs w:val="24"/>
              </w:rPr>
              <w:t>年</w:t>
            </w:r>
            <w:r w:rsidR="008416E3">
              <w:rPr>
                <w:rFonts w:ascii="宋体" w:eastAsia="宋体" w:hAnsi="宋体" w:hint="eastAsia"/>
                <w:sz w:val="24"/>
                <w:szCs w:val="24"/>
              </w:rPr>
              <w:t>6</w:t>
            </w:r>
            <w:r>
              <w:rPr>
                <w:rFonts w:ascii="宋体" w:eastAsia="宋体" w:hAnsi="宋体" w:hint="eastAsia"/>
                <w:sz w:val="24"/>
                <w:szCs w:val="24"/>
              </w:rPr>
              <w:t>月</w:t>
            </w:r>
            <w:r w:rsidR="008416E3">
              <w:rPr>
                <w:rFonts w:ascii="宋体" w:eastAsia="宋体" w:hAnsi="宋体" w:hint="eastAsia"/>
                <w:sz w:val="24"/>
                <w:szCs w:val="24"/>
              </w:rPr>
              <w:t>1</w:t>
            </w:r>
            <w:r w:rsidR="00DA4C2A">
              <w:rPr>
                <w:rFonts w:ascii="宋体" w:eastAsia="宋体" w:hAnsi="宋体" w:hint="eastAsia"/>
                <w:sz w:val="24"/>
                <w:szCs w:val="24"/>
              </w:rPr>
              <w:t>9</w:t>
            </w:r>
            <w:r>
              <w:rPr>
                <w:rFonts w:ascii="宋体" w:eastAsia="宋体" w:hAnsi="宋体" w:hint="eastAsia"/>
                <w:sz w:val="24"/>
                <w:szCs w:val="24"/>
              </w:rPr>
              <w:t>日</w:t>
            </w:r>
          </w:p>
        </w:tc>
      </w:tr>
    </w:tbl>
    <w:p w14:paraId="6185137E" w14:textId="77777777" w:rsidR="00595828" w:rsidRPr="00595828" w:rsidRDefault="00595828">
      <w:pPr>
        <w:spacing w:after="0"/>
        <w:jc w:val="both"/>
        <w:rPr>
          <w:rFonts w:eastAsiaTheme="minorEastAsia"/>
        </w:rPr>
      </w:pPr>
    </w:p>
    <w:sectPr w:rsidR="00595828" w:rsidRP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1E8A7" w14:textId="77777777" w:rsidR="00F15572" w:rsidRDefault="00F15572" w:rsidP="00595828">
      <w:pPr>
        <w:spacing w:after="0" w:line="240" w:lineRule="auto"/>
      </w:pPr>
      <w:r>
        <w:separator/>
      </w:r>
    </w:p>
  </w:endnote>
  <w:endnote w:type="continuationSeparator" w:id="0">
    <w:p w14:paraId="1D224F27" w14:textId="77777777" w:rsidR="00F15572" w:rsidRDefault="00F15572"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A9545" w14:textId="77777777" w:rsidR="00F15572" w:rsidRDefault="00F15572" w:rsidP="00595828">
      <w:pPr>
        <w:spacing w:after="0" w:line="240" w:lineRule="auto"/>
      </w:pPr>
      <w:r>
        <w:separator/>
      </w:r>
    </w:p>
  </w:footnote>
  <w:footnote w:type="continuationSeparator" w:id="0">
    <w:p w14:paraId="0D3F90DE" w14:textId="77777777" w:rsidR="00F15572" w:rsidRDefault="00F15572"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19B9"/>
    <w:multiLevelType w:val="multilevel"/>
    <w:tmpl w:val="1A6119B9"/>
    <w:lvl w:ilvl="0">
      <w:start w:val="1"/>
      <w:numFmt w:val="decimal"/>
      <w:lvlText w:val="%1."/>
      <w:lvlJc w:val="left"/>
      <w:pPr>
        <w:ind w:left="420" w:hanging="420"/>
      </w:pPr>
      <w:rPr>
        <w:b/>
        <w:sz w:val="24"/>
        <w:szCs w:val="24"/>
      </w:rPr>
    </w:lvl>
    <w:lvl w:ilvl="1">
      <w:start w:val="100"/>
      <w:numFmt w:val="decimal"/>
      <w:lvlText w:val="%2．"/>
      <w:lvlJc w:val="left"/>
      <w:pPr>
        <w:ind w:left="1035" w:hanging="615"/>
      </w:pPr>
      <w:rPr>
        <w:rFonts w:hint="default"/>
      </w:rPr>
    </w:lvl>
    <w:lvl w:ilvl="2">
      <w:start w:val="1"/>
      <w:numFmt w:val="decimal"/>
      <w:lvlText w:val="（%3）"/>
      <w:lvlJc w:val="left"/>
      <w:pPr>
        <w:ind w:left="1560" w:hanging="720"/>
      </w:pPr>
      <w:rPr>
        <w:rFonts w:eastAsia="黑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24CEE"/>
    <w:rsid w:val="00030199"/>
    <w:rsid w:val="0004202C"/>
    <w:rsid w:val="000453C6"/>
    <w:rsid w:val="000668A8"/>
    <w:rsid w:val="000876CF"/>
    <w:rsid w:val="000C06D7"/>
    <w:rsid w:val="000D1CF0"/>
    <w:rsid w:val="001150FA"/>
    <w:rsid w:val="00157EE6"/>
    <w:rsid w:val="001817E4"/>
    <w:rsid w:val="00190ECB"/>
    <w:rsid w:val="001C37A6"/>
    <w:rsid w:val="001E625A"/>
    <w:rsid w:val="001E7630"/>
    <w:rsid w:val="0023201F"/>
    <w:rsid w:val="0026533B"/>
    <w:rsid w:val="002704C2"/>
    <w:rsid w:val="00283172"/>
    <w:rsid w:val="002A3115"/>
    <w:rsid w:val="002D0456"/>
    <w:rsid w:val="002D4173"/>
    <w:rsid w:val="00301D5F"/>
    <w:rsid w:val="00312BFB"/>
    <w:rsid w:val="00325820"/>
    <w:rsid w:val="00365953"/>
    <w:rsid w:val="0038677B"/>
    <w:rsid w:val="003A1A21"/>
    <w:rsid w:val="003B3309"/>
    <w:rsid w:val="003B3CBA"/>
    <w:rsid w:val="003F27F2"/>
    <w:rsid w:val="00410E01"/>
    <w:rsid w:val="00435B6D"/>
    <w:rsid w:val="00437CCB"/>
    <w:rsid w:val="00451501"/>
    <w:rsid w:val="00451658"/>
    <w:rsid w:val="0049465C"/>
    <w:rsid w:val="004C1FD6"/>
    <w:rsid w:val="004D224A"/>
    <w:rsid w:val="004F7FB6"/>
    <w:rsid w:val="00506021"/>
    <w:rsid w:val="00582743"/>
    <w:rsid w:val="005859AA"/>
    <w:rsid w:val="0059299D"/>
    <w:rsid w:val="00595828"/>
    <w:rsid w:val="005A2882"/>
    <w:rsid w:val="005A2966"/>
    <w:rsid w:val="005B0772"/>
    <w:rsid w:val="005C7492"/>
    <w:rsid w:val="005E72D0"/>
    <w:rsid w:val="006014DF"/>
    <w:rsid w:val="00670353"/>
    <w:rsid w:val="00674A2B"/>
    <w:rsid w:val="006B6CCA"/>
    <w:rsid w:val="006C7F0F"/>
    <w:rsid w:val="00706E8A"/>
    <w:rsid w:val="00713FCD"/>
    <w:rsid w:val="007323AE"/>
    <w:rsid w:val="00734DFA"/>
    <w:rsid w:val="00755C2A"/>
    <w:rsid w:val="00762561"/>
    <w:rsid w:val="00766FE7"/>
    <w:rsid w:val="0077521E"/>
    <w:rsid w:val="007B27D7"/>
    <w:rsid w:val="007C0333"/>
    <w:rsid w:val="007C3603"/>
    <w:rsid w:val="007D124A"/>
    <w:rsid w:val="007F6F71"/>
    <w:rsid w:val="00830857"/>
    <w:rsid w:val="008416E3"/>
    <w:rsid w:val="00843759"/>
    <w:rsid w:val="00864D27"/>
    <w:rsid w:val="00866DE4"/>
    <w:rsid w:val="00892B75"/>
    <w:rsid w:val="008A3216"/>
    <w:rsid w:val="008A42A4"/>
    <w:rsid w:val="008E6FFF"/>
    <w:rsid w:val="008F6D9F"/>
    <w:rsid w:val="00923755"/>
    <w:rsid w:val="00924238"/>
    <w:rsid w:val="0093056E"/>
    <w:rsid w:val="00956BF8"/>
    <w:rsid w:val="00991BB8"/>
    <w:rsid w:val="009C480E"/>
    <w:rsid w:val="009D29E1"/>
    <w:rsid w:val="009E6D3B"/>
    <w:rsid w:val="009F6973"/>
    <w:rsid w:val="00A2032F"/>
    <w:rsid w:val="00A54DA5"/>
    <w:rsid w:val="00A55064"/>
    <w:rsid w:val="00A74B63"/>
    <w:rsid w:val="00A93DD2"/>
    <w:rsid w:val="00AD2185"/>
    <w:rsid w:val="00AD5AEE"/>
    <w:rsid w:val="00AE3476"/>
    <w:rsid w:val="00AE73A6"/>
    <w:rsid w:val="00B22BF6"/>
    <w:rsid w:val="00B30DDA"/>
    <w:rsid w:val="00B65D83"/>
    <w:rsid w:val="00B71C85"/>
    <w:rsid w:val="00BC62ED"/>
    <w:rsid w:val="00BE6EB3"/>
    <w:rsid w:val="00C065C4"/>
    <w:rsid w:val="00C20173"/>
    <w:rsid w:val="00C21988"/>
    <w:rsid w:val="00C47EC7"/>
    <w:rsid w:val="00C56141"/>
    <w:rsid w:val="00C67057"/>
    <w:rsid w:val="00C81363"/>
    <w:rsid w:val="00C832E6"/>
    <w:rsid w:val="00CA660D"/>
    <w:rsid w:val="00CB33D1"/>
    <w:rsid w:val="00CD5112"/>
    <w:rsid w:val="00CE7104"/>
    <w:rsid w:val="00D502CE"/>
    <w:rsid w:val="00DA4C2A"/>
    <w:rsid w:val="00DE22E2"/>
    <w:rsid w:val="00DE720F"/>
    <w:rsid w:val="00E0201F"/>
    <w:rsid w:val="00E105E4"/>
    <w:rsid w:val="00E87677"/>
    <w:rsid w:val="00EA6593"/>
    <w:rsid w:val="00EB04DB"/>
    <w:rsid w:val="00F13A00"/>
    <w:rsid w:val="00F14E77"/>
    <w:rsid w:val="00F15572"/>
    <w:rsid w:val="00F4180A"/>
    <w:rsid w:val="00F73601"/>
    <w:rsid w:val="00FB7D05"/>
    <w:rsid w:val="00FF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2EA7"/>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3">
    <w:name w:val="heading 3"/>
    <w:basedOn w:val="a"/>
    <w:next w:val="a"/>
    <w:link w:val="30"/>
    <w:uiPriority w:val="9"/>
    <w:qFormat/>
    <w:rsid w:val="00A2032F"/>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character" w:customStyle="1" w:styleId="30">
    <w:name w:val="标题 3 字符"/>
    <w:basedOn w:val="a0"/>
    <w:link w:val="3"/>
    <w:uiPriority w:val="9"/>
    <w:rsid w:val="00A2032F"/>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9185">
      <w:bodyDiv w:val="1"/>
      <w:marLeft w:val="0"/>
      <w:marRight w:val="0"/>
      <w:marTop w:val="0"/>
      <w:marBottom w:val="0"/>
      <w:divBdr>
        <w:top w:val="none" w:sz="0" w:space="0" w:color="auto"/>
        <w:left w:val="none" w:sz="0" w:space="0" w:color="auto"/>
        <w:bottom w:val="none" w:sz="0" w:space="0" w:color="auto"/>
        <w:right w:val="none" w:sz="0" w:space="0" w:color="auto"/>
      </w:divBdr>
    </w:div>
    <w:div w:id="1059789803">
      <w:bodyDiv w:val="1"/>
      <w:marLeft w:val="0"/>
      <w:marRight w:val="0"/>
      <w:marTop w:val="0"/>
      <w:marBottom w:val="0"/>
      <w:divBdr>
        <w:top w:val="none" w:sz="0" w:space="0" w:color="auto"/>
        <w:left w:val="none" w:sz="0" w:space="0" w:color="auto"/>
        <w:bottom w:val="none" w:sz="0" w:space="0" w:color="auto"/>
        <w:right w:val="none" w:sz="0" w:space="0" w:color="auto"/>
      </w:divBdr>
    </w:div>
    <w:div w:id="1362701596">
      <w:bodyDiv w:val="1"/>
      <w:marLeft w:val="0"/>
      <w:marRight w:val="0"/>
      <w:marTop w:val="0"/>
      <w:marBottom w:val="0"/>
      <w:divBdr>
        <w:top w:val="none" w:sz="0" w:space="0" w:color="auto"/>
        <w:left w:val="none" w:sz="0" w:space="0" w:color="auto"/>
        <w:bottom w:val="none" w:sz="0" w:space="0" w:color="auto"/>
        <w:right w:val="none" w:sz="0" w:space="0" w:color="auto"/>
      </w:divBdr>
      <w:divsChild>
        <w:div w:id="426075162">
          <w:blockQuote w:val="1"/>
          <w:marLeft w:val="120"/>
          <w:marRight w:val="720"/>
          <w:marTop w:val="0"/>
          <w:marBottom w:val="0"/>
          <w:divBdr>
            <w:top w:val="none" w:sz="0" w:space="0" w:color="auto"/>
            <w:left w:val="none" w:sz="0" w:space="0" w:color="auto"/>
            <w:bottom w:val="none" w:sz="0" w:space="0" w:color="auto"/>
            <w:right w:val="none" w:sz="0" w:space="0" w:color="auto"/>
          </w:divBdr>
          <w:divsChild>
            <w:div w:id="674648647">
              <w:marLeft w:val="0"/>
              <w:marRight w:val="0"/>
              <w:marTop w:val="0"/>
              <w:marBottom w:val="0"/>
              <w:divBdr>
                <w:top w:val="none" w:sz="0" w:space="0" w:color="auto"/>
                <w:left w:val="none" w:sz="0" w:space="0" w:color="auto"/>
                <w:bottom w:val="none" w:sz="0" w:space="0" w:color="auto"/>
                <w:right w:val="none" w:sz="0" w:space="0" w:color="auto"/>
              </w:divBdr>
              <w:divsChild>
                <w:div w:id="281424227">
                  <w:marLeft w:val="0"/>
                  <w:marRight w:val="0"/>
                  <w:marTop w:val="0"/>
                  <w:marBottom w:val="0"/>
                  <w:divBdr>
                    <w:top w:val="none" w:sz="0" w:space="0" w:color="auto"/>
                    <w:left w:val="none" w:sz="0" w:space="0" w:color="auto"/>
                    <w:bottom w:val="none" w:sz="0" w:space="0" w:color="auto"/>
                    <w:right w:val="none" w:sz="0" w:space="0" w:color="auto"/>
                  </w:divBdr>
                  <w:divsChild>
                    <w:div w:id="62901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04924">
                          <w:marLeft w:val="0"/>
                          <w:marRight w:val="0"/>
                          <w:marTop w:val="0"/>
                          <w:marBottom w:val="0"/>
                          <w:divBdr>
                            <w:top w:val="none" w:sz="0" w:space="0" w:color="auto"/>
                            <w:left w:val="none" w:sz="0" w:space="0" w:color="auto"/>
                            <w:bottom w:val="none" w:sz="0" w:space="0" w:color="auto"/>
                            <w:right w:val="none" w:sz="0" w:space="0" w:color="auto"/>
                          </w:divBdr>
                          <w:divsChild>
                            <w:div w:id="797457516">
                              <w:marLeft w:val="0"/>
                              <w:marRight w:val="0"/>
                              <w:marTop w:val="0"/>
                              <w:marBottom w:val="0"/>
                              <w:divBdr>
                                <w:top w:val="none" w:sz="0" w:space="0" w:color="auto"/>
                                <w:left w:val="none" w:sz="0" w:space="0" w:color="auto"/>
                                <w:bottom w:val="none" w:sz="0" w:space="0" w:color="auto"/>
                                <w:right w:val="none" w:sz="0" w:space="0" w:color="auto"/>
                              </w:divBdr>
                              <w:divsChild>
                                <w:div w:id="105967286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8144816">
                                      <w:marLeft w:val="0"/>
                                      <w:marRight w:val="0"/>
                                      <w:marTop w:val="0"/>
                                      <w:marBottom w:val="0"/>
                                      <w:divBdr>
                                        <w:top w:val="none" w:sz="0" w:space="0" w:color="auto"/>
                                        <w:left w:val="none" w:sz="0" w:space="0" w:color="auto"/>
                                        <w:bottom w:val="none" w:sz="0" w:space="0" w:color="auto"/>
                                        <w:right w:val="none" w:sz="0" w:space="0" w:color="auto"/>
                                      </w:divBdr>
                                      <w:divsChild>
                                        <w:div w:id="232353338">
                                          <w:blockQuote w:val="1"/>
                                          <w:marLeft w:val="120"/>
                                          <w:marRight w:val="720"/>
                                          <w:marTop w:val="0"/>
                                          <w:marBottom w:val="0"/>
                                          <w:divBdr>
                                            <w:top w:val="none" w:sz="0" w:space="0" w:color="auto"/>
                                            <w:left w:val="none" w:sz="0" w:space="0" w:color="auto"/>
                                            <w:bottom w:val="none" w:sz="0" w:space="0" w:color="auto"/>
                                            <w:right w:val="none" w:sz="0" w:space="0" w:color="auto"/>
                                          </w:divBdr>
                                          <w:divsChild>
                                            <w:div w:id="520625431">
                                              <w:marLeft w:val="0"/>
                                              <w:marRight w:val="0"/>
                                              <w:marTop w:val="0"/>
                                              <w:marBottom w:val="0"/>
                                              <w:divBdr>
                                                <w:top w:val="none" w:sz="0" w:space="0" w:color="auto"/>
                                                <w:left w:val="none" w:sz="0" w:space="0" w:color="auto"/>
                                                <w:bottom w:val="none" w:sz="0" w:space="0" w:color="auto"/>
                                                <w:right w:val="none" w:sz="0" w:space="0" w:color="auto"/>
                                              </w:divBdr>
                                              <w:divsChild>
                                                <w:div w:id="959385842">
                                                  <w:marLeft w:val="0"/>
                                                  <w:marRight w:val="0"/>
                                                  <w:marTop w:val="0"/>
                                                  <w:marBottom w:val="0"/>
                                                  <w:divBdr>
                                                    <w:top w:val="none" w:sz="0" w:space="0" w:color="auto"/>
                                                    <w:left w:val="none" w:sz="0" w:space="0" w:color="auto"/>
                                                    <w:bottom w:val="none" w:sz="0" w:space="0" w:color="auto"/>
                                                    <w:right w:val="none" w:sz="0" w:space="0" w:color="auto"/>
                                                  </w:divBdr>
                                                  <w:divsChild>
                                                    <w:div w:id="493645860">
                                                      <w:marLeft w:val="0"/>
                                                      <w:marRight w:val="0"/>
                                                      <w:marTop w:val="0"/>
                                                      <w:marBottom w:val="0"/>
                                                      <w:divBdr>
                                                        <w:top w:val="none" w:sz="0" w:space="0" w:color="auto"/>
                                                        <w:left w:val="none" w:sz="0" w:space="0" w:color="auto"/>
                                                        <w:bottom w:val="none" w:sz="0" w:space="0" w:color="auto"/>
                                                        <w:right w:val="none" w:sz="0" w:space="0" w:color="auto"/>
                                                      </w:divBdr>
                                                      <w:divsChild>
                                                        <w:div w:id="75517355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24018858">
                                                              <w:marLeft w:val="0"/>
                                                              <w:marRight w:val="0"/>
                                                              <w:marTop w:val="0"/>
                                                              <w:marBottom w:val="0"/>
                                                              <w:divBdr>
                                                                <w:top w:val="none" w:sz="0" w:space="0" w:color="auto"/>
                                                                <w:left w:val="none" w:sz="0" w:space="0" w:color="auto"/>
                                                                <w:bottom w:val="none" w:sz="0" w:space="0" w:color="auto"/>
                                                                <w:right w:val="none" w:sz="0" w:space="0" w:color="auto"/>
                                                              </w:divBdr>
                                                              <w:divsChild>
                                                                <w:div w:id="744381915">
                                                                  <w:blockQuote w:val="1"/>
                                                                  <w:marLeft w:val="120"/>
                                                                  <w:marRight w:val="720"/>
                                                                  <w:marTop w:val="0"/>
                                                                  <w:marBottom w:val="0"/>
                                                                  <w:divBdr>
                                                                    <w:top w:val="none" w:sz="0" w:space="0" w:color="auto"/>
                                                                    <w:left w:val="none" w:sz="0" w:space="0" w:color="auto"/>
                                                                    <w:bottom w:val="none" w:sz="0" w:space="0" w:color="auto"/>
                                                                    <w:right w:val="none" w:sz="0" w:space="0" w:color="auto"/>
                                                                  </w:divBdr>
                                                                  <w:divsChild>
                                                                    <w:div w:id="542787063">
                                                                      <w:marLeft w:val="0"/>
                                                                      <w:marRight w:val="0"/>
                                                                      <w:marTop w:val="0"/>
                                                                      <w:marBottom w:val="0"/>
                                                                      <w:divBdr>
                                                                        <w:top w:val="none" w:sz="0" w:space="0" w:color="auto"/>
                                                                        <w:left w:val="none" w:sz="0" w:space="0" w:color="auto"/>
                                                                        <w:bottom w:val="none" w:sz="0" w:space="0" w:color="auto"/>
                                                                        <w:right w:val="none" w:sz="0" w:space="0" w:color="auto"/>
                                                                      </w:divBdr>
                                                                      <w:divsChild>
                                                                        <w:div w:id="5376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1729</Characters>
  <Application>Microsoft Office Word</Application>
  <DocSecurity>0</DocSecurity>
  <Lines>14</Lines>
  <Paragraphs>4</Paragraphs>
  <ScaleCrop>false</ScaleCrop>
  <Company>QN</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 Dc</cp:lastModifiedBy>
  <cp:revision>3</cp:revision>
  <cp:lastPrinted>2019-11-05T02:06:00Z</cp:lastPrinted>
  <dcterms:created xsi:type="dcterms:W3CDTF">2020-06-19T08:55:00Z</dcterms:created>
  <dcterms:modified xsi:type="dcterms:W3CDTF">2020-06-19T09:02:00Z</dcterms:modified>
</cp:coreProperties>
</file>