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7" w:rsidRPr="00E71638" w:rsidRDefault="009A1D49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24"/>
        </w:rPr>
      </w:pPr>
      <w:r w:rsidRPr="00E71638">
        <w:rPr>
          <w:rFonts w:ascii="仿宋_GB2312" w:eastAsia="仿宋_GB2312" w:hint="eastAsia"/>
          <w:sz w:val="24"/>
        </w:rPr>
        <w:t>证券代码：</w:t>
      </w:r>
      <w:r w:rsidRPr="00E71638">
        <w:rPr>
          <w:rFonts w:eastAsia="仿宋_GB2312"/>
          <w:sz w:val="24"/>
        </w:rPr>
        <w:t>300632</w:t>
      </w:r>
      <w:r w:rsidRPr="00E71638">
        <w:rPr>
          <w:rFonts w:ascii="仿宋_GB2312" w:eastAsia="仿宋_GB2312" w:hint="eastAsia"/>
          <w:sz w:val="24"/>
        </w:rPr>
        <w:t xml:space="preserve">                      证券简称：光</w:t>
      </w:r>
      <w:proofErr w:type="gramStart"/>
      <w:r w:rsidRPr="00E71638">
        <w:rPr>
          <w:rFonts w:ascii="仿宋_GB2312" w:eastAsia="仿宋_GB2312" w:hint="eastAsia"/>
          <w:sz w:val="24"/>
        </w:rPr>
        <w:t>莆</w:t>
      </w:r>
      <w:proofErr w:type="gramEnd"/>
      <w:r w:rsidRPr="00E71638">
        <w:rPr>
          <w:rFonts w:ascii="仿宋_GB2312" w:eastAsia="仿宋_GB2312" w:hint="eastAsia"/>
          <w:sz w:val="24"/>
        </w:rPr>
        <w:t xml:space="preserve">股份   </w:t>
      </w:r>
    </w:p>
    <w:p w:rsidR="00E76207" w:rsidRPr="00E71638" w:rsidRDefault="009A1D49">
      <w:pPr>
        <w:snapToGrid w:val="0"/>
        <w:spacing w:line="480" w:lineRule="exact"/>
        <w:jc w:val="center"/>
        <w:rPr>
          <w:rFonts w:ascii="仿宋_GB2312" w:eastAsia="仿宋_GB2312"/>
          <w:b/>
          <w:sz w:val="24"/>
        </w:rPr>
      </w:pPr>
      <w:r w:rsidRPr="00E71638">
        <w:rPr>
          <w:rFonts w:ascii="仿宋_GB2312" w:eastAsia="仿宋_GB2312" w:hAnsi="Lucida Console" w:hint="eastAsia"/>
          <w:b/>
          <w:sz w:val="24"/>
        </w:rPr>
        <w:t>厦门光莆电子</w:t>
      </w:r>
      <w:r w:rsidRPr="00E71638">
        <w:rPr>
          <w:rFonts w:ascii="仿宋_GB2312" w:eastAsia="仿宋_GB2312" w:hint="eastAsia"/>
          <w:b/>
          <w:sz w:val="24"/>
        </w:rPr>
        <w:t>股份有限公司投资者关系活动记录表</w:t>
      </w:r>
    </w:p>
    <w:p w:rsidR="00E76207" w:rsidRPr="00E71638" w:rsidRDefault="009A1D49">
      <w:pPr>
        <w:ind w:firstLineChars="3000" w:firstLine="6300"/>
        <w:rPr>
          <w:rFonts w:eastAsia="仿宋_GB2312"/>
          <w:szCs w:val="21"/>
        </w:rPr>
      </w:pPr>
      <w:r w:rsidRPr="00E71638">
        <w:rPr>
          <w:rFonts w:eastAsia="仿宋_GB2312"/>
          <w:szCs w:val="21"/>
        </w:rPr>
        <w:t>编号：</w:t>
      </w:r>
      <w:r w:rsidR="00E71638" w:rsidRPr="00E71638">
        <w:rPr>
          <w:rFonts w:eastAsia="仿宋_GB2312"/>
          <w:szCs w:val="21"/>
        </w:rPr>
        <w:t>20200</w:t>
      </w:r>
      <w:r w:rsidR="00B72A56">
        <w:rPr>
          <w:rFonts w:eastAsia="仿宋_GB2312" w:hint="eastAsia"/>
          <w:szCs w:val="21"/>
        </w:rPr>
        <w:t>6</w:t>
      </w:r>
      <w:r w:rsidR="00E71638" w:rsidRPr="00E71638">
        <w:rPr>
          <w:rFonts w:eastAsia="仿宋_GB2312"/>
          <w:szCs w:val="21"/>
        </w:rPr>
        <w:t>0</w:t>
      </w:r>
      <w:r w:rsidR="00CA61CB">
        <w:rPr>
          <w:rFonts w:eastAsia="仿宋_GB2312" w:hint="eastAsia"/>
          <w:szCs w:val="21"/>
        </w:rPr>
        <w:t>1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投资者关系活动类别</w:t>
            </w:r>
          </w:p>
        </w:tc>
        <w:tc>
          <w:tcPr>
            <w:tcW w:w="6854" w:type="dxa"/>
          </w:tcPr>
          <w:p w:rsidR="00E76207" w:rsidRPr="00E71638" w:rsidRDefault="00E71638" w:rsidP="00E71638">
            <w:pPr>
              <w:jc w:val="left"/>
              <w:rPr>
                <w:szCs w:val="21"/>
              </w:rPr>
            </w:pPr>
            <w:r w:rsidRPr="00E71638">
              <w:rPr>
                <w:rFonts w:ascii="宋体" w:hAnsi="宋体" w:hint="eastAsia"/>
                <w:szCs w:val="21"/>
              </w:rPr>
              <w:t>□</w:t>
            </w:r>
            <w:r w:rsidRPr="00E71638">
              <w:rPr>
                <w:szCs w:val="21"/>
              </w:rPr>
              <w:t xml:space="preserve"> </w:t>
            </w:r>
            <w:r w:rsidR="009A1D49" w:rsidRPr="00E71638">
              <w:rPr>
                <w:szCs w:val="21"/>
              </w:rPr>
              <w:t>特定对象调研</w:t>
            </w:r>
            <w:r w:rsidR="009A1D49" w:rsidRPr="00E71638">
              <w:rPr>
                <w:rFonts w:hint="eastAsia"/>
                <w:szCs w:val="21"/>
              </w:rPr>
              <w:t xml:space="preserve">     </w:t>
            </w:r>
            <w:r w:rsidR="00B0433B" w:rsidRPr="00E71638">
              <w:rPr>
                <w:rFonts w:ascii="宋体" w:hAnsi="宋体" w:hint="eastAsia"/>
                <w:szCs w:val="21"/>
              </w:rPr>
              <w:t>□</w:t>
            </w:r>
            <w:r w:rsidR="009A1D49" w:rsidRPr="00E71638">
              <w:rPr>
                <w:rFonts w:hint="eastAsia"/>
                <w:szCs w:val="21"/>
              </w:rPr>
              <w:t xml:space="preserve"> </w:t>
            </w:r>
            <w:r w:rsidR="009A1D49" w:rsidRPr="00E71638">
              <w:rPr>
                <w:rFonts w:hint="eastAsia"/>
                <w:szCs w:val="21"/>
              </w:rPr>
              <w:t>分析师会议</w:t>
            </w:r>
          </w:p>
          <w:p w:rsidR="00E76207" w:rsidRPr="00E71638" w:rsidRDefault="00B72A56">
            <w:pPr>
              <w:jc w:val="left"/>
              <w:rPr>
                <w:szCs w:val="21"/>
              </w:rPr>
            </w:pPr>
            <w:r w:rsidRPr="00E71638">
              <w:rPr>
                <w:rFonts w:ascii="宋体" w:hAnsi="宋体" w:hint="eastAsia"/>
                <w:szCs w:val="21"/>
              </w:rPr>
              <w:t>□</w:t>
            </w:r>
            <w:r w:rsidR="00373D7D">
              <w:rPr>
                <w:rFonts w:ascii="宋体" w:hAnsi="宋体" w:hint="eastAsia"/>
                <w:szCs w:val="21"/>
              </w:rPr>
              <w:t xml:space="preserve"> </w:t>
            </w:r>
            <w:r w:rsidR="009A1D49" w:rsidRPr="00E71638">
              <w:rPr>
                <w:rFonts w:hint="eastAsia"/>
                <w:szCs w:val="21"/>
              </w:rPr>
              <w:t>媒体</w:t>
            </w:r>
            <w:r w:rsidR="009A1D49" w:rsidRPr="00E71638">
              <w:rPr>
                <w:szCs w:val="21"/>
              </w:rPr>
              <w:t>采访</w:t>
            </w:r>
            <w:r w:rsidR="009A1D49" w:rsidRPr="00E71638">
              <w:rPr>
                <w:rFonts w:hint="eastAsia"/>
                <w:szCs w:val="21"/>
              </w:rPr>
              <w:t xml:space="preserve">         </w:t>
            </w:r>
            <w:r w:rsidR="009A1D49" w:rsidRPr="00E71638">
              <w:rPr>
                <w:rFonts w:ascii="宋体" w:hAnsi="宋体" w:hint="eastAsia"/>
                <w:szCs w:val="21"/>
              </w:rPr>
              <w:t>□</w:t>
            </w:r>
            <w:r w:rsidR="009A1D49" w:rsidRPr="00E71638">
              <w:rPr>
                <w:rFonts w:hint="eastAsia"/>
                <w:szCs w:val="21"/>
              </w:rPr>
              <w:t xml:space="preserve"> </w:t>
            </w:r>
            <w:r w:rsidR="009A1D49" w:rsidRPr="00E71638">
              <w:rPr>
                <w:rFonts w:hint="eastAsia"/>
                <w:szCs w:val="21"/>
              </w:rPr>
              <w:t>业绩说明会</w:t>
            </w:r>
          </w:p>
          <w:p w:rsidR="00E76207" w:rsidRPr="00E71638" w:rsidRDefault="009A1D49">
            <w:pPr>
              <w:jc w:val="left"/>
              <w:rPr>
                <w:szCs w:val="21"/>
              </w:rPr>
            </w:pPr>
            <w:r w:rsidRPr="00E71638">
              <w:rPr>
                <w:rFonts w:ascii="宋体" w:hAnsi="宋体" w:hint="eastAsia"/>
                <w:szCs w:val="21"/>
              </w:rPr>
              <w:t xml:space="preserve">□ </w:t>
            </w:r>
            <w:r w:rsidRPr="00E71638">
              <w:rPr>
                <w:rFonts w:hint="eastAsia"/>
                <w:szCs w:val="21"/>
              </w:rPr>
              <w:t>新闻</w:t>
            </w:r>
            <w:r w:rsidRPr="00E71638">
              <w:rPr>
                <w:szCs w:val="21"/>
              </w:rPr>
              <w:t>发布会</w:t>
            </w:r>
            <w:r w:rsidRPr="00E71638">
              <w:rPr>
                <w:rFonts w:hint="eastAsia"/>
                <w:szCs w:val="21"/>
              </w:rPr>
              <w:t xml:space="preserve">       </w:t>
            </w:r>
            <w:r w:rsidRPr="00E71638">
              <w:rPr>
                <w:rFonts w:ascii="宋体" w:hAnsi="宋体" w:hint="eastAsia"/>
                <w:szCs w:val="21"/>
              </w:rPr>
              <w:t>□</w:t>
            </w:r>
            <w:r w:rsidRPr="00E71638">
              <w:rPr>
                <w:rFonts w:hint="eastAsia"/>
                <w:szCs w:val="21"/>
              </w:rPr>
              <w:t xml:space="preserve"> </w:t>
            </w:r>
            <w:r w:rsidRPr="00E71638">
              <w:rPr>
                <w:rFonts w:hint="eastAsia"/>
                <w:szCs w:val="21"/>
              </w:rPr>
              <w:t>路演活动</w:t>
            </w:r>
          </w:p>
          <w:p w:rsidR="00E76207" w:rsidRPr="00E71638" w:rsidRDefault="00E00F33">
            <w:pPr>
              <w:jc w:val="left"/>
              <w:rPr>
                <w:szCs w:val="21"/>
              </w:rPr>
            </w:pPr>
            <w:r w:rsidRPr="00E71638">
              <w:rPr>
                <w:rFonts w:ascii="宋体" w:hAnsi="宋体" w:hint="eastAsia"/>
                <w:szCs w:val="21"/>
              </w:rPr>
              <w:t>□</w:t>
            </w:r>
            <w:r w:rsidR="009A1D49" w:rsidRPr="00E71638">
              <w:rPr>
                <w:rFonts w:ascii="宋体" w:hAnsi="宋体" w:hint="eastAsia"/>
                <w:szCs w:val="21"/>
              </w:rPr>
              <w:t xml:space="preserve"> </w:t>
            </w:r>
            <w:r w:rsidR="009A1D49" w:rsidRPr="00E71638">
              <w:rPr>
                <w:rFonts w:hint="eastAsia"/>
                <w:szCs w:val="21"/>
              </w:rPr>
              <w:t>现场参观</w:t>
            </w:r>
          </w:p>
          <w:p w:rsidR="00E76207" w:rsidRPr="00E71638" w:rsidRDefault="00B72A56">
            <w:pPr>
              <w:jc w:val="left"/>
              <w:rPr>
                <w:szCs w:val="21"/>
              </w:rPr>
            </w:pPr>
            <w:r w:rsidRPr="00E71638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9A1D49" w:rsidRPr="00E71638">
              <w:rPr>
                <w:rFonts w:ascii="宋体" w:hAnsi="宋体" w:hint="eastAsia"/>
                <w:szCs w:val="21"/>
              </w:rPr>
              <w:t xml:space="preserve"> </w:t>
            </w:r>
            <w:r w:rsidR="009A1D49" w:rsidRPr="00E71638">
              <w:rPr>
                <w:rFonts w:hint="eastAsia"/>
                <w:szCs w:val="21"/>
              </w:rPr>
              <w:t>其他</w:t>
            </w:r>
            <w:r w:rsidR="009A1D49" w:rsidRPr="00E71638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>投资者交流会</w:t>
            </w:r>
            <w:r w:rsidR="009A1D49" w:rsidRPr="00E71638">
              <w:rPr>
                <w:rFonts w:hint="eastAsia"/>
                <w:szCs w:val="21"/>
                <w:u w:val="single"/>
              </w:rPr>
              <w:t xml:space="preserve">                    </w:t>
            </w: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参与单位名称及人员姓名</w:t>
            </w:r>
          </w:p>
        </w:tc>
        <w:tc>
          <w:tcPr>
            <w:tcW w:w="6854" w:type="dxa"/>
            <w:vAlign w:val="center"/>
          </w:tcPr>
          <w:p w:rsidR="00206258" w:rsidRPr="00E71638" w:rsidRDefault="00512838" w:rsidP="00512838">
            <w:r>
              <w:rPr>
                <w:rFonts w:hint="eastAsia"/>
                <w:szCs w:val="21"/>
              </w:rPr>
              <w:t>厦门上市</w:t>
            </w:r>
            <w:r w:rsidR="008D000E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协会和约调研联合组织的投资者交流会</w:t>
            </w: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时间</w:t>
            </w:r>
          </w:p>
        </w:tc>
        <w:tc>
          <w:tcPr>
            <w:tcW w:w="6854" w:type="dxa"/>
          </w:tcPr>
          <w:p w:rsidR="00E76207" w:rsidRPr="00E71638" w:rsidRDefault="009A1D49" w:rsidP="00B72A56">
            <w:pPr>
              <w:jc w:val="left"/>
              <w:rPr>
                <w:szCs w:val="21"/>
              </w:rPr>
            </w:pPr>
            <w:r w:rsidRPr="00E71638">
              <w:rPr>
                <w:rFonts w:hint="eastAsia"/>
                <w:szCs w:val="21"/>
              </w:rPr>
              <w:t>20</w:t>
            </w:r>
            <w:r w:rsidR="00E00F33" w:rsidRPr="00E71638">
              <w:rPr>
                <w:rFonts w:hint="eastAsia"/>
                <w:szCs w:val="21"/>
              </w:rPr>
              <w:t>20</w:t>
            </w:r>
            <w:r w:rsidRPr="00E71638">
              <w:rPr>
                <w:rFonts w:hint="eastAsia"/>
                <w:szCs w:val="21"/>
              </w:rPr>
              <w:t>年</w:t>
            </w:r>
            <w:r w:rsidR="00E00F33" w:rsidRPr="00E71638">
              <w:rPr>
                <w:rFonts w:hint="eastAsia"/>
                <w:szCs w:val="21"/>
              </w:rPr>
              <w:t>0</w:t>
            </w:r>
            <w:r w:rsidR="00B72A56">
              <w:rPr>
                <w:rFonts w:hint="eastAsia"/>
                <w:szCs w:val="21"/>
              </w:rPr>
              <w:t>6</w:t>
            </w:r>
            <w:r w:rsidRPr="00E71638">
              <w:rPr>
                <w:rFonts w:hint="eastAsia"/>
                <w:szCs w:val="21"/>
              </w:rPr>
              <w:t>月</w:t>
            </w:r>
            <w:r w:rsidR="00B72A56">
              <w:rPr>
                <w:rFonts w:hint="eastAsia"/>
                <w:szCs w:val="21"/>
              </w:rPr>
              <w:t>17</w:t>
            </w:r>
            <w:r w:rsidRPr="00E71638">
              <w:rPr>
                <w:rFonts w:hint="eastAsia"/>
                <w:szCs w:val="21"/>
              </w:rPr>
              <w:t>日</w:t>
            </w:r>
            <w:r w:rsidRPr="00E71638">
              <w:rPr>
                <w:rFonts w:hint="eastAsia"/>
                <w:szCs w:val="21"/>
              </w:rPr>
              <w:t xml:space="preserve"> </w:t>
            </w: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地点</w:t>
            </w:r>
          </w:p>
        </w:tc>
        <w:tc>
          <w:tcPr>
            <w:tcW w:w="6854" w:type="dxa"/>
          </w:tcPr>
          <w:p w:rsidR="00E76207" w:rsidRPr="00E71638" w:rsidRDefault="00B72A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电话会议</w:t>
            </w: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上市公司接待人员</w:t>
            </w:r>
          </w:p>
        </w:tc>
        <w:tc>
          <w:tcPr>
            <w:tcW w:w="6854" w:type="dxa"/>
            <w:vAlign w:val="center"/>
          </w:tcPr>
          <w:p w:rsidR="00E76207" w:rsidRPr="00E71638" w:rsidRDefault="00207F33" w:rsidP="006576A2">
            <w:pPr>
              <w:rPr>
                <w:szCs w:val="21"/>
              </w:rPr>
            </w:pPr>
            <w:r w:rsidRPr="00E71638">
              <w:rPr>
                <w:rFonts w:hint="eastAsia"/>
                <w:szCs w:val="21"/>
              </w:rPr>
              <w:t>董事会秘书</w:t>
            </w:r>
            <w:r w:rsidRPr="00E71638">
              <w:rPr>
                <w:rFonts w:hint="eastAsia"/>
                <w:szCs w:val="21"/>
              </w:rPr>
              <w:t xml:space="preserve">   </w:t>
            </w:r>
            <w:r w:rsidRPr="00E71638">
              <w:rPr>
                <w:rFonts w:hint="eastAsia"/>
                <w:szCs w:val="21"/>
              </w:rPr>
              <w:t>张金燕</w:t>
            </w: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投资者关系活动主要内容</w:t>
            </w:r>
          </w:p>
        </w:tc>
        <w:tc>
          <w:tcPr>
            <w:tcW w:w="6854" w:type="dxa"/>
          </w:tcPr>
          <w:p w:rsidR="00B20BA7" w:rsidRDefault="00B20BA7" w:rsidP="00512838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512838" w:rsidRDefault="00532324" w:rsidP="00512838">
            <w:pPr>
              <w:ind w:firstLineChars="200" w:firstLine="42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近期</w:t>
            </w:r>
            <w:r>
              <w:rPr>
                <w:rFonts w:hint="eastAsia"/>
                <w:szCs w:val="21"/>
              </w:rPr>
              <w:t>，</w:t>
            </w:r>
            <w:r w:rsidR="00512838">
              <w:rPr>
                <w:rFonts w:hint="eastAsia"/>
                <w:szCs w:val="21"/>
              </w:rPr>
              <w:t>公司</w:t>
            </w:r>
            <w:r w:rsidR="00512838">
              <w:rPr>
                <w:szCs w:val="21"/>
              </w:rPr>
              <w:t>参加了</w:t>
            </w:r>
            <w:r w:rsidR="00512838">
              <w:rPr>
                <w:rFonts w:hint="eastAsia"/>
                <w:szCs w:val="21"/>
              </w:rPr>
              <w:t>厦门上市协会和约调研联合组织的投资者交流会</w:t>
            </w:r>
            <w:r w:rsidR="00E00F33" w:rsidRPr="00E71638">
              <w:rPr>
                <w:szCs w:val="21"/>
              </w:rPr>
              <w:t>，</w:t>
            </w:r>
            <w:r w:rsidR="00512838">
              <w:rPr>
                <w:szCs w:val="21"/>
              </w:rPr>
              <w:t>首先</w:t>
            </w:r>
            <w:r w:rsidR="00512838">
              <w:rPr>
                <w:rFonts w:hint="eastAsia"/>
                <w:szCs w:val="21"/>
              </w:rPr>
              <w:t>，</w:t>
            </w:r>
            <w:r w:rsidR="00512838">
              <w:rPr>
                <w:szCs w:val="21"/>
              </w:rPr>
              <w:t>公司董秘张金燕女士从</w:t>
            </w:r>
            <w:r w:rsidR="00512838" w:rsidRPr="00512838">
              <w:rPr>
                <w:rFonts w:hint="eastAsia"/>
                <w:szCs w:val="21"/>
              </w:rPr>
              <w:t>公司的基本情况</w:t>
            </w:r>
            <w:r w:rsidR="00512838">
              <w:rPr>
                <w:rFonts w:hint="eastAsia"/>
                <w:szCs w:val="21"/>
              </w:rPr>
              <w:t>、</w:t>
            </w:r>
            <w:r w:rsidR="00512838" w:rsidRPr="00512838">
              <w:rPr>
                <w:rFonts w:hint="eastAsia"/>
                <w:szCs w:val="21"/>
              </w:rPr>
              <w:t>公司发展的战略</w:t>
            </w:r>
            <w:r w:rsidR="00512838">
              <w:rPr>
                <w:rFonts w:hint="eastAsia"/>
                <w:szCs w:val="21"/>
              </w:rPr>
              <w:t>、</w:t>
            </w:r>
            <w:r w:rsidR="00512838" w:rsidRPr="00512838">
              <w:rPr>
                <w:rFonts w:hint="eastAsia"/>
                <w:szCs w:val="21"/>
              </w:rPr>
              <w:t>公司面临的行业机遇</w:t>
            </w:r>
            <w:r w:rsidR="00512838">
              <w:rPr>
                <w:rFonts w:hint="eastAsia"/>
                <w:szCs w:val="21"/>
              </w:rPr>
              <w:t>、</w:t>
            </w:r>
            <w:r w:rsidR="00512838" w:rsidRPr="00512838">
              <w:rPr>
                <w:rFonts w:hint="eastAsia"/>
                <w:szCs w:val="21"/>
              </w:rPr>
              <w:t>公司的投资亮点</w:t>
            </w:r>
            <w:r w:rsidR="00512838">
              <w:rPr>
                <w:rFonts w:hint="eastAsia"/>
                <w:szCs w:val="21"/>
              </w:rPr>
              <w:t>等四个方面向各位参会投资者做了公司情况汇报，并互动交流了以下问题</w:t>
            </w:r>
            <w:r w:rsidR="00E71638" w:rsidRPr="00E71638">
              <w:rPr>
                <w:szCs w:val="21"/>
              </w:rPr>
              <w:t>：</w:t>
            </w:r>
            <w:r w:rsidR="00E00F33" w:rsidRPr="00E71638">
              <w:rPr>
                <w:szCs w:val="21"/>
              </w:rPr>
              <w:t xml:space="preserve">   </w:t>
            </w:r>
          </w:p>
          <w:p w:rsidR="00A16087" w:rsidRDefault="00A16087" w:rsidP="00A16087">
            <w:pPr>
              <w:jc w:val="left"/>
              <w:rPr>
                <w:szCs w:val="21"/>
              </w:rPr>
            </w:pPr>
          </w:p>
          <w:p w:rsidR="00E00F33" w:rsidRDefault="00A16087" w:rsidP="00A160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E00F33" w:rsidRPr="00E71638">
              <w:rPr>
                <w:szCs w:val="21"/>
              </w:rPr>
              <w:t xml:space="preserve"> </w:t>
            </w:r>
            <w:r w:rsidRPr="00A16087">
              <w:rPr>
                <w:rFonts w:hint="eastAsia"/>
                <w:szCs w:val="21"/>
              </w:rPr>
              <w:t>公司目前海外业务拓展情况？以及中美贸易摩擦对公司海外拓展的影响？</w:t>
            </w:r>
          </w:p>
          <w:p w:rsidR="00E0584D" w:rsidRDefault="00E0584D" w:rsidP="00A16087">
            <w:pPr>
              <w:jc w:val="left"/>
              <w:rPr>
                <w:szCs w:val="21"/>
              </w:rPr>
            </w:pPr>
          </w:p>
          <w:p w:rsidR="009121B2" w:rsidRDefault="009121B2" w:rsidP="006054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答：公司销往海外的产品主要是</w:t>
            </w:r>
            <w:r w:rsidRPr="009121B2"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照明灯具产品，采取的是大客户直销战略</w:t>
            </w:r>
            <w:r w:rsidRPr="009121B2">
              <w:rPr>
                <w:rFonts w:hint="eastAsia"/>
                <w:szCs w:val="21"/>
              </w:rPr>
              <w:t>，</w:t>
            </w:r>
            <w:r w:rsidRPr="009121B2">
              <w:rPr>
                <w:rFonts w:hint="eastAsia"/>
                <w:szCs w:val="21"/>
              </w:rPr>
              <w:t>2017</w:t>
            </w:r>
            <w:r w:rsidRPr="009121B2">
              <w:rPr>
                <w:rFonts w:hint="eastAsia"/>
                <w:szCs w:val="21"/>
              </w:rPr>
              <w:t>年公司上市后，我们在原有的大客户战略上面进行</w:t>
            </w:r>
            <w:r>
              <w:rPr>
                <w:rFonts w:hint="eastAsia"/>
                <w:szCs w:val="21"/>
              </w:rPr>
              <w:t>了</w:t>
            </w:r>
            <w:r w:rsidRPr="009121B2">
              <w:rPr>
                <w:rFonts w:hint="eastAsia"/>
                <w:szCs w:val="21"/>
              </w:rPr>
              <w:t>全面的升级，把大客户的战略模式推广到全球优质客户的开发上面，先后开发了欧洲、北美、亚太的全球领先的优质的客户，客户的数量在不断的增加，这些客户存在着</w:t>
            </w:r>
            <w:r w:rsidR="0060547C">
              <w:rPr>
                <w:rFonts w:hint="eastAsia"/>
                <w:szCs w:val="21"/>
              </w:rPr>
              <w:t>一些共同的特点，如：</w:t>
            </w:r>
            <w:r w:rsidRPr="009121B2">
              <w:rPr>
                <w:rFonts w:hint="eastAsia"/>
                <w:szCs w:val="21"/>
              </w:rPr>
              <w:t>开发周期长、进入壁垒高，但是一旦开发成功之后，客户的信赖度、粘性比较好，未来的采购能力和支付能力强。我们目前的客户在这块都表现的特别明显，因此在这次疫情的情况下，我们这些客户的竞争力、现金流就很好的体现了出来。这也是我们的照明业务能够持续稳定的发展的一个很重要的保证。</w:t>
            </w:r>
          </w:p>
          <w:p w:rsidR="009121B2" w:rsidRPr="009121B2" w:rsidRDefault="00667D50" w:rsidP="00B92470">
            <w:pPr>
              <w:ind w:firstLineChars="200" w:firstLine="420"/>
              <w:rPr>
                <w:szCs w:val="21"/>
              </w:rPr>
            </w:pPr>
            <w:r w:rsidRPr="00A213BE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销往海外的产品</w:t>
            </w:r>
            <w:r w:rsidRPr="00A213BE">
              <w:rPr>
                <w:rFonts w:hint="eastAsia"/>
                <w:szCs w:val="21"/>
              </w:rPr>
              <w:t>以</w:t>
            </w:r>
            <w:r w:rsidRPr="00A213BE">
              <w:rPr>
                <w:rFonts w:hint="eastAsia"/>
                <w:szCs w:val="21"/>
              </w:rPr>
              <w:t>FOB</w:t>
            </w:r>
            <w:r w:rsidRPr="00A213BE">
              <w:rPr>
                <w:rFonts w:hint="eastAsia"/>
                <w:szCs w:val="21"/>
              </w:rPr>
              <w:t>模式为主，新增美国关税由美国客户直接承担；美国客户可向上游压价，向下游涨价转嫁部分新增关税，公司通过产品研发迭代前瞻、优化成本方式应对美国客户的压价。</w:t>
            </w:r>
            <w:r>
              <w:rPr>
                <w:rFonts w:hint="eastAsia"/>
                <w:szCs w:val="21"/>
              </w:rPr>
              <w:t>从实际情况来看，</w:t>
            </w:r>
            <w:r w:rsidRPr="00A213BE">
              <w:rPr>
                <w:rFonts w:hint="eastAsia"/>
                <w:szCs w:val="21"/>
              </w:rPr>
              <w:t>中美贸易摩擦爆发以来，公司对美国地区客户的销售金额由</w:t>
            </w:r>
            <w:r w:rsidRPr="00A213BE">
              <w:rPr>
                <w:rFonts w:hint="eastAsia"/>
                <w:szCs w:val="21"/>
              </w:rPr>
              <w:t>2017</w:t>
            </w:r>
            <w:r w:rsidRPr="00A213BE">
              <w:rPr>
                <w:rFonts w:hint="eastAsia"/>
                <w:szCs w:val="21"/>
              </w:rPr>
              <w:t>年的</w:t>
            </w:r>
            <w:r>
              <w:rPr>
                <w:rFonts w:hint="eastAsia"/>
                <w:szCs w:val="21"/>
              </w:rPr>
              <w:t>9000</w:t>
            </w:r>
            <w:r>
              <w:rPr>
                <w:rFonts w:hint="eastAsia"/>
                <w:szCs w:val="21"/>
              </w:rPr>
              <w:t>多万</w:t>
            </w:r>
            <w:r w:rsidRPr="00A213BE">
              <w:rPr>
                <w:rFonts w:hint="eastAsia"/>
                <w:szCs w:val="21"/>
              </w:rPr>
              <w:t>提高至</w:t>
            </w:r>
            <w:r w:rsidRPr="00A213BE">
              <w:rPr>
                <w:rFonts w:hint="eastAsia"/>
                <w:szCs w:val="21"/>
              </w:rPr>
              <w:t>2019</w:t>
            </w:r>
            <w:r w:rsidRPr="00A213BE">
              <w:rPr>
                <w:rFonts w:hint="eastAsia"/>
                <w:szCs w:val="21"/>
              </w:rPr>
              <w:t>年的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个多亿</w:t>
            </w:r>
            <w:r w:rsidRPr="00A213B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销售额是逐年增加的，近两年公司在北美地区已</w:t>
            </w:r>
            <w:proofErr w:type="gramStart"/>
            <w:r w:rsidR="00F80E33">
              <w:rPr>
                <w:rFonts w:hint="eastAsia"/>
                <w:szCs w:val="21"/>
              </w:rPr>
              <w:t>陆续新</w:t>
            </w:r>
            <w:proofErr w:type="gramEnd"/>
            <w:r w:rsidR="00F80E33">
              <w:rPr>
                <w:rFonts w:hint="eastAsia"/>
                <w:szCs w:val="21"/>
              </w:rPr>
              <w:t>开发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多家二级优质客户，部分客户已在批量交货，因此，</w:t>
            </w:r>
            <w:r w:rsidRPr="00A213BE">
              <w:rPr>
                <w:rFonts w:hint="eastAsia"/>
                <w:szCs w:val="21"/>
              </w:rPr>
              <w:t>中美贸易摩擦</w:t>
            </w:r>
            <w:r>
              <w:rPr>
                <w:rFonts w:hint="eastAsia"/>
                <w:szCs w:val="21"/>
              </w:rPr>
              <w:t>并</w:t>
            </w:r>
            <w:r w:rsidRPr="00A213BE">
              <w:rPr>
                <w:rFonts w:hint="eastAsia"/>
                <w:szCs w:val="21"/>
              </w:rPr>
              <w:t>未对公司</w:t>
            </w:r>
            <w:r>
              <w:rPr>
                <w:rFonts w:hint="eastAsia"/>
                <w:szCs w:val="21"/>
              </w:rPr>
              <w:t>产品在北美地区的销售和客户开发产生重大不利影响</w:t>
            </w:r>
            <w:r w:rsidRPr="00A213BE">
              <w:rPr>
                <w:rFonts w:hint="eastAsia"/>
                <w:szCs w:val="21"/>
              </w:rPr>
              <w:t>。</w:t>
            </w:r>
          </w:p>
          <w:p w:rsidR="00A16087" w:rsidRDefault="00A16087" w:rsidP="00A16087">
            <w:pPr>
              <w:jc w:val="left"/>
              <w:rPr>
                <w:szCs w:val="21"/>
              </w:rPr>
            </w:pPr>
          </w:p>
          <w:p w:rsidR="00A16087" w:rsidRDefault="00A16087" w:rsidP="00A160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A16087">
              <w:rPr>
                <w:rFonts w:hint="eastAsia"/>
                <w:szCs w:val="21"/>
              </w:rPr>
              <w:t>公司目前应收账款回款周期有多长？公司有采取措施</w:t>
            </w:r>
            <w:r w:rsidR="008D000E">
              <w:rPr>
                <w:rFonts w:hint="eastAsia"/>
                <w:szCs w:val="21"/>
              </w:rPr>
              <w:t>降低</w:t>
            </w:r>
            <w:r w:rsidRPr="00A16087">
              <w:rPr>
                <w:rFonts w:hint="eastAsia"/>
                <w:szCs w:val="21"/>
              </w:rPr>
              <w:t>应收账款余额较大的风险</w:t>
            </w:r>
            <w:r w:rsidR="0093716D">
              <w:rPr>
                <w:rFonts w:hint="eastAsia"/>
                <w:szCs w:val="21"/>
              </w:rPr>
              <w:t>吗</w:t>
            </w:r>
            <w:r w:rsidRPr="00A16087">
              <w:rPr>
                <w:rFonts w:hint="eastAsia"/>
                <w:szCs w:val="21"/>
              </w:rPr>
              <w:t>？</w:t>
            </w:r>
          </w:p>
          <w:p w:rsidR="00B92470" w:rsidRDefault="00B92470" w:rsidP="00A16087">
            <w:pPr>
              <w:jc w:val="left"/>
              <w:rPr>
                <w:szCs w:val="21"/>
              </w:rPr>
            </w:pPr>
          </w:p>
          <w:p w:rsidR="000C0072" w:rsidRDefault="00B92470" w:rsidP="000C0072">
            <w:pPr>
              <w:jc w:val="center"/>
              <w:rPr>
                <w:spacing w:val="1"/>
              </w:rPr>
            </w:pPr>
            <w:r>
              <w:rPr>
                <w:rFonts w:hint="eastAsia"/>
                <w:szCs w:val="21"/>
              </w:rPr>
              <w:t>答：</w:t>
            </w:r>
            <w:r w:rsidR="000C0072">
              <w:rPr>
                <w:rFonts w:hint="eastAsia"/>
                <w:szCs w:val="21"/>
              </w:rPr>
              <w:t>公司不同业务板块的</w:t>
            </w:r>
            <w:r w:rsidR="000C0072">
              <w:rPr>
                <w:rFonts w:hint="eastAsia"/>
                <w:spacing w:val="1"/>
              </w:rPr>
              <w:t>结算周期和应收账款周期存在一定差异，</w:t>
            </w:r>
            <w:r w:rsidR="000C0072" w:rsidRPr="000C0072">
              <w:rPr>
                <w:rFonts w:hint="eastAsia"/>
                <w:spacing w:val="1"/>
              </w:rPr>
              <w:t>LED</w:t>
            </w:r>
          </w:p>
          <w:p w:rsidR="0093716D" w:rsidRDefault="000C0072" w:rsidP="000C0072">
            <w:pPr>
              <w:rPr>
                <w:spacing w:val="1"/>
              </w:rPr>
            </w:pPr>
            <w:r w:rsidRPr="000C0072">
              <w:rPr>
                <w:rFonts w:hint="eastAsia"/>
                <w:spacing w:val="1"/>
              </w:rPr>
              <w:t>照明业务</w:t>
            </w:r>
            <w:r>
              <w:rPr>
                <w:rFonts w:hint="eastAsia"/>
                <w:spacing w:val="1"/>
              </w:rPr>
              <w:t>，结算周期以</w:t>
            </w:r>
            <w:r w:rsidRPr="000C0072">
              <w:rPr>
                <w:rFonts w:hint="eastAsia"/>
                <w:spacing w:val="1"/>
              </w:rPr>
              <w:t>月结</w:t>
            </w:r>
            <w:r w:rsidRPr="000C0072">
              <w:rPr>
                <w:spacing w:val="1"/>
              </w:rPr>
              <w:t>30-90</w:t>
            </w:r>
            <w:r w:rsidRPr="000C0072">
              <w:rPr>
                <w:rFonts w:hint="eastAsia"/>
                <w:spacing w:val="1"/>
              </w:rPr>
              <w:t>天为主，应收账款回收周期</w:t>
            </w:r>
            <w:r>
              <w:rPr>
                <w:rFonts w:hint="eastAsia"/>
                <w:spacing w:val="1"/>
              </w:rPr>
              <w:t>以</w:t>
            </w:r>
            <w:r w:rsidRPr="000C0072">
              <w:rPr>
                <w:spacing w:val="1"/>
              </w:rPr>
              <w:t>60-120</w:t>
            </w:r>
            <w:r w:rsidRPr="000C0072">
              <w:rPr>
                <w:rFonts w:hint="eastAsia"/>
                <w:spacing w:val="1"/>
              </w:rPr>
              <w:t>天为主</w:t>
            </w:r>
            <w:r w:rsidR="0093716D">
              <w:rPr>
                <w:rFonts w:hint="eastAsia"/>
                <w:spacing w:val="1"/>
              </w:rPr>
              <w:t>；</w:t>
            </w:r>
            <w:r w:rsidRPr="000C0072">
              <w:rPr>
                <w:spacing w:val="1"/>
              </w:rPr>
              <w:t>FPC</w:t>
            </w:r>
            <w:r w:rsidRPr="000C0072">
              <w:rPr>
                <w:rFonts w:hint="eastAsia"/>
                <w:spacing w:val="1"/>
              </w:rPr>
              <w:t>业务</w:t>
            </w:r>
            <w:r>
              <w:rPr>
                <w:rFonts w:hint="eastAsia"/>
                <w:spacing w:val="1"/>
              </w:rPr>
              <w:t>结算周期以</w:t>
            </w:r>
            <w:r w:rsidRPr="000C0072">
              <w:rPr>
                <w:rFonts w:hint="eastAsia"/>
                <w:spacing w:val="1"/>
              </w:rPr>
              <w:t>月结</w:t>
            </w:r>
            <w:r w:rsidR="0093716D">
              <w:rPr>
                <w:rFonts w:hint="eastAsia"/>
                <w:spacing w:val="1"/>
              </w:rPr>
              <w:t>90</w:t>
            </w:r>
            <w:r w:rsidRPr="000C0072">
              <w:rPr>
                <w:spacing w:val="1"/>
              </w:rPr>
              <w:t>-</w:t>
            </w:r>
            <w:r w:rsidR="0093716D">
              <w:rPr>
                <w:rFonts w:hint="eastAsia"/>
                <w:spacing w:val="1"/>
              </w:rPr>
              <w:t>150</w:t>
            </w:r>
            <w:r w:rsidRPr="000C0072">
              <w:rPr>
                <w:rFonts w:hint="eastAsia"/>
                <w:spacing w:val="1"/>
              </w:rPr>
              <w:t>天为主，应收账款回收周期</w:t>
            </w:r>
            <w:r>
              <w:rPr>
                <w:rFonts w:hint="eastAsia"/>
                <w:spacing w:val="1"/>
              </w:rPr>
              <w:t>以</w:t>
            </w:r>
            <w:r w:rsidR="0093716D">
              <w:rPr>
                <w:rFonts w:hint="eastAsia"/>
                <w:spacing w:val="1"/>
              </w:rPr>
              <w:t>120</w:t>
            </w:r>
            <w:r w:rsidRPr="000C0072">
              <w:rPr>
                <w:spacing w:val="1"/>
              </w:rPr>
              <w:t>-1</w:t>
            </w:r>
            <w:r w:rsidR="0093716D">
              <w:rPr>
                <w:rFonts w:hint="eastAsia"/>
                <w:spacing w:val="1"/>
              </w:rPr>
              <w:t>8</w:t>
            </w:r>
            <w:r w:rsidRPr="000C0072">
              <w:rPr>
                <w:spacing w:val="1"/>
              </w:rPr>
              <w:t>0</w:t>
            </w:r>
            <w:r w:rsidRPr="000C0072">
              <w:rPr>
                <w:rFonts w:hint="eastAsia"/>
                <w:spacing w:val="1"/>
              </w:rPr>
              <w:t>天为主</w:t>
            </w:r>
            <w:r w:rsidR="0093716D">
              <w:rPr>
                <w:rFonts w:hint="eastAsia"/>
                <w:spacing w:val="1"/>
              </w:rPr>
              <w:t>；其他业务以现结为主。</w:t>
            </w:r>
          </w:p>
          <w:p w:rsidR="00B92470" w:rsidRDefault="0093716D" w:rsidP="0093716D">
            <w:pPr>
              <w:ind w:firstLineChars="200" w:firstLine="420"/>
              <w:rPr>
                <w:spacing w:val="1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公司前期的大客户直销战略布局，形成了与大客户相匹配的成熟经营模式。基于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此商业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模式，公司</w:t>
            </w:r>
            <w:r w:rsidRPr="0093716D">
              <w:rPr>
                <w:rFonts w:hint="eastAsia"/>
                <w:spacing w:val="1"/>
              </w:rPr>
              <w:t>根据合作情况及内部评估给予</w:t>
            </w:r>
            <w:r>
              <w:rPr>
                <w:rFonts w:ascii="宋体" w:hAnsi="宋体" w:cs="宋体" w:hint="eastAsia"/>
                <w:kern w:val="0"/>
                <w:lang w:val="zh-CN"/>
              </w:rPr>
              <w:t>大客户一定信用期限。公司大客户均</w:t>
            </w:r>
            <w:r w:rsidRPr="0093716D">
              <w:rPr>
                <w:rFonts w:hint="eastAsia"/>
                <w:spacing w:val="1"/>
              </w:rPr>
              <w:t>为全球知名或行业知名的从事照明、背光、电子加工等大型科技集团或其旗下公司，</w:t>
            </w:r>
            <w:r>
              <w:rPr>
                <w:rFonts w:hint="eastAsia"/>
                <w:spacing w:val="1"/>
              </w:rPr>
              <w:t>这些</w:t>
            </w:r>
            <w:r w:rsidRPr="0093716D">
              <w:rPr>
                <w:rFonts w:hint="eastAsia"/>
                <w:spacing w:val="1"/>
              </w:rPr>
              <w:t>客户经营情况良好，具备雄厚的资金实力和良好的商业信誉。</w:t>
            </w:r>
            <w:r>
              <w:rPr>
                <w:rFonts w:hint="eastAsia"/>
                <w:spacing w:val="1"/>
              </w:rPr>
              <w:t>从近几年应收账款期后回款情况来看，期后回款率都在</w:t>
            </w:r>
            <w:r>
              <w:rPr>
                <w:rFonts w:hint="eastAsia"/>
                <w:spacing w:val="1"/>
              </w:rPr>
              <w:t>97%</w:t>
            </w:r>
            <w:r>
              <w:rPr>
                <w:rFonts w:hint="eastAsia"/>
                <w:spacing w:val="1"/>
              </w:rPr>
              <w:t>以上，应收账款</w:t>
            </w:r>
            <w:r w:rsidRPr="0093716D">
              <w:rPr>
                <w:rFonts w:hint="eastAsia"/>
                <w:spacing w:val="1"/>
              </w:rPr>
              <w:t>回收风险较低</w:t>
            </w:r>
            <w:r>
              <w:rPr>
                <w:rFonts w:hint="eastAsia"/>
                <w:spacing w:val="1"/>
              </w:rPr>
              <w:t>。</w:t>
            </w:r>
          </w:p>
          <w:p w:rsidR="00646C80" w:rsidRPr="00646C80" w:rsidRDefault="00646C80" w:rsidP="00646C80">
            <w:pPr>
              <w:autoSpaceDE w:val="0"/>
              <w:autoSpaceDN w:val="0"/>
              <w:adjustRightInd w:val="0"/>
              <w:ind w:firstLine="360"/>
              <w:jc w:val="left"/>
              <w:rPr>
                <w:rFonts w:eastAsiaTheme="minorEastAsia"/>
                <w:kern w:val="0"/>
                <w:szCs w:val="24"/>
                <w:lang w:val="zh-CN"/>
              </w:rPr>
            </w:pPr>
            <w:r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公司管理层一直非常重视应收账款的管理。公司已建立了比较完善的客户评级制度，并根据客户评级情况给予适当的信用期和信用额度，从源头保证应收账款的安全性。公司还明确销售业绩和回款目标的责任人，并将销售和回款任务的完成情况作为日常绩效考核的重要指标，定期对账</w:t>
            </w:r>
            <w:proofErr w:type="gramStart"/>
            <w:r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龄</w:t>
            </w:r>
            <w:proofErr w:type="gramEnd"/>
            <w:r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进行分析，及时安排催款，尤其重视大额应收账款的催收工作，使应收账款风险控制在可控范围内。</w:t>
            </w:r>
            <w:r>
              <w:rPr>
                <w:rFonts w:ascii="宋体" w:hAnsi="宋体" w:cs="宋体" w:hint="eastAsia"/>
                <w:kern w:val="0"/>
                <w:szCs w:val="24"/>
                <w:lang w:val="zh-CN"/>
              </w:rPr>
              <w:t>对于出口海外的产品公司还购买了出口信用保险，并在信用授权范围内给予客户信用额度，减少风险发生的可能性。</w:t>
            </w:r>
          </w:p>
          <w:p w:rsidR="008C430A" w:rsidRDefault="008C430A" w:rsidP="00A16087">
            <w:pPr>
              <w:jc w:val="left"/>
              <w:rPr>
                <w:szCs w:val="21"/>
              </w:rPr>
            </w:pPr>
          </w:p>
          <w:p w:rsidR="008C430A" w:rsidRDefault="008C430A" w:rsidP="00A160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问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8C430A">
              <w:rPr>
                <w:rFonts w:hint="eastAsia"/>
                <w:szCs w:val="21"/>
              </w:rPr>
              <w:t>公司计划今年的研发投入是多少？主要投在哪些技术的研发上？</w:t>
            </w:r>
          </w:p>
          <w:p w:rsidR="00A16087" w:rsidRDefault="00A16087" w:rsidP="00A16087">
            <w:pPr>
              <w:jc w:val="left"/>
              <w:rPr>
                <w:szCs w:val="21"/>
              </w:rPr>
            </w:pPr>
          </w:p>
          <w:p w:rsidR="003E514F" w:rsidRPr="00666F49" w:rsidRDefault="003E514F" w:rsidP="00A16087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答：</w:t>
            </w:r>
            <w:r w:rsidR="00EA76CF"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公司高度重视产品和技术的创新，</w:t>
            </w:r>
            <w:r w:rsidR="00EA76CF">
              <w:rPr>
                <w:rFonts w:ascii="宋体" w:hAnsi="宋体" w:cs="宋体" w:hint="eastAsia"/>
                <w:kern w:val="0"/>
                <w:szCs w:val="24"/>
                <w:lang w:val="zh-CN"/>
              </w:rPr>
              <w:t>创新中心会</w:t>
            </w:r>
            <w:r w:rsidR="00EA76CF" w:rsidRPr="00E47E06">
              <w:rPr>
                <w:rFonts w:hint="eastAsia"/>
              </w:rPr>
              <w:t>提前</w:t>
            </w:r>
            <w:r w:rsidR="00EA76CF" w:rsidRPr="00E47E06">
              <w:t>3-5</w:t>
            </w:r>
            <w:r w:rsidR="00EA76CF" w:rsidRPr="00E47E06">
              <w:rPr>
                <w:rFonts w:hint="eastAsia"/>
              </w:rPr>
              <w:t>年进行</w:t>
            </w:r>
            <w:r w:rsidR="00EA76CF">
              <w:rPr>
                <w:rFonts w:hint="eastAsia"/>
              </w:rPr>
              <w:t>基础</w:t>
            </w:r>
            <w:r w:rsidR="00EA76CF" w:rsidRPr="00E47E06">
              <w:rPr>
                <w:rFonts w:hint="eastAsia"/>
              </w:rPr>
              <w:t>技术</w:t>
            </w:r>
            <w:r w:rsidR="00EA76CF">
              <w:rPr>
                <w:rFonts w:hint="eastAsia"/>
              </w:rPr>
              <w:t>的研究，</w:t>
            </w:r>
            <w:r w:rsidR="00EA76CF" w:rsidRPr="00E47E06">
              <w:rPr>
                <w:rFonts w:hint="eastAsia"/>
              </w:rPr>
              <w:t>进行新技术储备；研发中心提前</w:t>
            </w:r>
            <w:r w:rsidR="00EA76CF" w:rsidRPr="00E47E06">
              <w:t>2-3</w:t>
            </w:r>
            <w:r w:rsidR="00EA76CF" w:rsidRPr="00E47E06">
              <w:rPr>
                <w:rFonts w:hint="eastAsia"/>
              </w:rPr>
              <w:t>年进行集成技术研究，进行新产品技术储备；技术开发部提前</w:t>
            </w:r>
            <w:r w:rsidR="00EA76CF" w:rsidRPr="00E47E06">
              <w:t>1-2</w:t>
            </w:r>
            <w:r w:rsidR="00EA76CF" w:rsidRPr="00E47E06">
              <w:rPr>
                <w:rFonts w:hint="eastAsia"/>
              </w:rPr>
              <w:t>年进行产品技术研究，推进产品升级迭代。</w:t>
            </w:r>
            <w:r w:rsidR="00EA76CF">
              <w:rPr>
                <w:rFonts w:ascii="宋体" w:hAnsi="宋体" w:cs="宋体" w:hint="eastAsia"/>
                <w:kern w:val="0"/>
                <w:szCs w:val="24"/>
                <w:lang w:val="zh-CN"/>
              </w:rPr>
              <w:t>近几年，</w:t>
            </w:r>
            <w:r w:rsidR="00EA76CF"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公司研发投入经费</w:t>
            </w:r>
            <w:r w:rsidR="00EA76CF" w:rsidRPr="00082B3B">
              <w:rPr>
                <w:rFonts w:hint="eastAsia"/>
                <w:szCs w:val="24"/>
              </w:rPr>
              <w:t>占营业收入比例</w:t>
            </w:r>
            <w:r w:rsidR="00EA76CF">
              <w:rPr>
                <w:rFonts w:hint="eastAsia"/>
                <w:szCs w:val="24"/>
              </w:rPr>
              <w:t>都在</w:t>
            </w:r>
            <w:r w:rsidR="00EA76CF">
              <w:rPr>
                <w:rFonts w:hint="eastAsia"/>
                <w:szCs w:val="24"/>
              </w:rPr>
              <w:t>4%</w:t>
            </w:r>
            <w:r w:rsidR="00EA76CF">
              <w:rPr>
                <w:rFonts w:hint="eastAsia"/>
                <w:szCs w:val="24"/>
              </w:rPr>
              <w:t>以上，今年应该也差不多</w:t>
            </w:r>
            <w:r w:rsidR="00853E62">
              <w:rPr>
                <w:rFonts w:hint="eastAsia"/>
                <w:szCs w:val="24"/>
              </w:rPr>
              <w:t>在</w:t>
            </w:r>
            <w:r w:rsidR="00EA76CF">
              <w:rPr>
                <w:rFonts w:hint="eastAsia"/>
                <w:szCs w:val="24"/>
              </w:rPr>
              <w:t>这个</w:t>
            </w:r>
            <w:r w:rsidR="00853E62">
              <w:rPr>
                <w:rFonts w:hint="eastAsia"/>
                <w:szCs w:val="24"/>
              </w:rPr>
              <w:t>范围</w:t>
            </w:r>
            <w:r w:rsidR="00EA76CF">
              <w:rPr>
                <w:rFonts w:hint="eastAsia"/>
                <w:szCs w:val="24"/>
              </w:rPr>
              <w:t>。</w:t>
            </w:r>
            <w:r w:rsidR="00666F49">
              <w:rPr>
                <w:rFonts w:hint="eastAsia"/>
                <w:szCs w:val="24"/>
              </w:rPr>
              <w:t>主要投在</w:t>
            </w:r>
            <w:r w:rsidR="00666F49" w:rsidRPr="00082B3B">
              <w:rPr>
                <w:rFonts w:eastAsia="Times New Roman"/>
                <w:kern w:val="0"/>
                <w:szCs w:val="24"/>
                <w:lang w:val="zh-CN"/>
              </w:rPr>
              <w:t>LED</w:t>
            </w:r>
            <w:r w:rsidR="00666F49" w:rsidRPr="00082B3B">
              <w:rPr>
                <w:rFonts w:ascii="宋体" w:hAnsi="宋体" w:cs="宋体" w:hint="eastAsia"/>
                <w:kern w:val="0"/>
                <w:szCs w:val="24"/>
                <w:lang w:val="zh-CN"/>
              </w:rPr>
              <w:t>照明</w:t>
            </w:r>
            <w:r w:rsidR="00666F49">
              <w:rPr>
                <w:rFonts w:ascii="宋体" w:hAnsi="宋体" w:cs="宋体" w:hint="eastAsia"/>
                <w:kern w:val="0"/>
                <w:szCs w:val="24"/>
                <w:lang w:val="zh-CN"/>
              </w:rPr>
              <w:t>、</w:t>
            </w:r>
            <w:r w:rsidR="00666F49">
              <w:rPr>
                <w:rFonts w:eastAsiaTheme="minorEastAsia" w:hint="eastAsia"/>
                <w:kern w:val="0"/>
                <w:szCs w:val="24"/>
                <w:lang w:val="zh-CN"/>
              </w:rPr>
              <w:t>UV</w:t>
            </w:r>
            <w:r w:rsidR="00666F49">
              <w:rPr>
                <w:rFonts w:eastAsiaTheme="minorEastAsia" w:hint="eastAsia"/>
                <w:kern w:val="0"/>
                <w:szCs w:val="24"/>
                <w:lang w:val="zh-CN"/>
              </w:rPr>
              <w:t>、红外</w:t>
            </w:r>
            <w:r w:rsidR="000458A9">
              <w:rPr>
                <w:rFonts w:eastAsiaTheme="minorEastAsia" w:hint="eastAsia"/>
                <w:kern w:val="0"/>
                <w:szCs w:val="24"/>
                <w:lang w:val="zh-CN"/>
              </w:rPr>
              <w:t>、</w:t>
            </w:r>
            <w:r w:rsidR="000458A9" w:rsidRPr="00082B3B">
              <w:rPr>
                <w:rFonts w:eastAsia="Times New Roman"/>
                <w:kern w:val="0"/>
                <w:szCs w:val="24"/>
                <w:lang w:val="zh-CN"/>
              </w:rPr>
              <w:t>FPC</w:t>
            </w:r>
            <w:r w:rsidR="00666F49">
              <w:rPr>
                <w:rFonts w:eastAsiaTheme="minorEastAsia" w:hint="eastAsia"/>
                <w:kern w:val="0"/>
                <w:szCs w:val="24"/>
                <w:lang w:val="zh-CN"/>
              </w:rPr>
              <w:t>等技术上研发和创新上，除此之外，公司还积极参与标准的制定，积极布局和申请各项专利，构建技术壁垒。</w:t>
            </w:r>
          </w:p>
          <w:p w:rsidR="003E514F" w:rsidRDefault="003E514F" w:rsidP="00A16087">
            <w:pPr>
              <w:jc w:val="left"/>
              <w:rPr>
                <w:szCs w:val="21"/>
              </w:rPr>
            </w:pPr>
          </w:p>
          <w:p w:rsidR="00A16087" w:rsidRPr="00E71638" w:rsidRDefault="00A16087" w:rsidP="00A16087">
            <w:pPr>
              <w:widowControl/>
              <w:rPr>
                <w:szCs w:val="24"/>
              </w:rPr>
            </w:pPr>
            <w:r>
              <w:rPr>
                <w:rFonts w:hint="eastAsia"/>
                <w:szCs w:val="21"/>
              </w:rPr>
              <w:t>问</w:t>
            </w:r>
            <w:r w:rsidR="003E51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D557A7">
              <w:rPr>
                <w:rFonts w:hint="eastAsia"/>
                <w:szCs w:val="24"/>
              </w:rPr>
              <w:t>公司受疫情影响大吗</w:t>
            </w:r>
            <w:r w:rsidR="008C430A" w:rsidRPr="008C430A">
              <w:rPr>
                <w:rFonts w:hint="eastAsia"/>
                <w:szCs w:val="24"/>
              </w:rPr>
              <w:t>？预计今年全年订单情况是否乐观？</w:t>
            </w:r>
          </w:p>
          <w:p w:rsidR="00A16087" w:rsidRPr="00114BF4" w:rsidRDefault="00A16087" w:rsidP="00A16087">
            <w:pPr>
              <w:widowControl/>
              <w:ind w:left="360"/>
              <w:rPr>
                <w:szCs w:val="24"/>
              </w:rPr>
            </w:pPr>
          </w:p>
          <w:p w:rsidR="00E76207" w:rsidRDefault="00A16087" w:rsidP="007739D7">
            <w:pPr>
              <w:widowControl/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答：</w:t>
            </w:r>
            <w:r>
              <w:rPr>
                <w:rFonts w:hint="eastAsia"/>
                <w:szCs w:val="21"/>
              </w:rPr>
              <w:t>照明业务欧洲地区的客户</w:t>
            </w:r>
            <w:r w:rsidR="00FC5F2A">
              <w:rPr>
                <w:rFonts w:hint="eastAsia"/>
                <w:szCs w:val="21"/>
              </w:rPr>
              <w:t>主要</w:t>
            </w:r>
            <w:r>
              <w:rPr>
                <w:rFonts w:hint="eastAsia"/>
                <w:szCs w:val="21"/>
              </w:rPr>
              <w:t>是商超客户</w:t>
            </w:r>
            <w:r w:rsidR="00FC5F2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月份</w:t>
            </w:r>
            <w:r w:rsidR="00FC5F2A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>关店</w:t>
            </w:r>
            <w:r w:rsidR="00FC5F2A">
              <w:rPr>
                <w:rFonts w:hint="eastAsia"/>
                <w:szCs w:val="21"/>
              </w:rPr>
              <w:t>影响有</w:t>
            </w:r>
            <w:r>
              <w:rPr>
                <w:rFonts w:hint="eastAsia"/>
                <w:szCs w:val="21"/>
              </w:rPr>
              <w:t>推迟</w:t>
            </w:r>
            <w:r w:rsidR="00FC5F2A"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szCs w:val="21"/>
              </w:rPr>
              <w:t>订单的交货时间，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月份已逐步恢复正常；北美客户因为主要是做工程灯具的客户，</w:t>
            </w:r>
            <w:r w:rsidR="00BC1618" w:rsidRPr="00BC1618">
              <w:rPr>
                <w:rFonts w:hint="eastAsia"/>
                <w:szCs w:val="21"/>
              </w:rPr>
              <w:t>并未出现取消或延迟订单的情形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FPC</w:t>
            </w:r>
            <w:r>
              <w:rPr>
                <w:rFonts w:hint="eastAsia"/>
                <w:szCs w:val="21"/>
              </w:rPr>
              <w:t>业务</w:t>
            </w:r>
            <w:r w:rsidR="00D557A7">
              <w:rPr>
                <w:rFonts w:hint="eastAsia"/>
                <w:szCs w:val="21"/>
              </w:rPr>
              <w:t>主要销售给国内客户，</w:t>
            </w:r>
            <w:r>
              <w:rPr>
                <w:rFonts w:hint="eastAsia"/>
                <w:szCs w:val="21"/>
              </w:rPr>
              <w:t>在新基建、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>等的带动下市场需求</w:t>
            </w:r>
            <w:r w:rsidR="00D557A7">
              <w:rPr>
                <w:rFonts w:hint="eastAsia"/>
                <w:szCs w:val="21"/>
              </w:rPr>
              <w:t>有所</w:t>
            </w:r>
            <w:r>
              <w:rPr>
                <w:rFonts w:hint="eastAsia"/>
                <w:szCs w:val="21"/>
              </w:rPr>
              <w:t>增加，新产品和新客户的开发也取得了一定的效果；另外，</w:t>
            </w:r>
            <w:r w:rsidR="00FC5F2A">
              <w:rPr>
                <w:rFonts w:hint="eastAsia"/>
                <w:szCs w:val="21"/>
              </w:rPr>
              <w:t xml:space="preserve"> </w:t>
            </w:r>
            <w:r w:rsidR="00D557A7" w:rsidRPr="00D557A7">
              <w:rPr>
                <w:rFonts w:hint="eastAsia"/>
                <w:szCs w:val="21"/>
              </w:rPr>
              <w:t>UV</w:t>
            </w:r>
            <w:r w:rsidR="00D557A7">
              <w:rPr>
                <w:rFonts w:hint="eastAsia"/>
                <w:szCs w:val="21"/>
              </w:rPr>
              <w:t>消毒杀菌产品</w:t>
            </w:r>
            <w:r w:rsidR="00FC5F2A">
              <w:rPr>
                <w:rFonts w:hint="eastAsia"/>
                <w:szCs w:val="21"/>
              </w:rPr>
              <w:t>我们</w:t>
            </w: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号左右开始销售，</w:t>
            </w:r>
            <w:r w:rsidR="00FC5F2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UV</w:t>
            </w:r>
            <w:r>
              <w:rPr>
                <w:rFonts w:hint="eastAsia"/>
                <w:szCs w:val="21"/>
              </w:rPr>
              <w:t>模组也正在和多家家电、</w:t>
            </w:r>
            <w:r w:rsidR="00BC1618">
              <w:rPr>
                <w:rFonts w:hint="eastAsia"/>
                <w:szCs w:val="21"/>
              </w:rPr>
              <w:t>办公</w:t>
            </w:r>
            <w:r>
              <w:rPr>
                <w:rFonts w:hint="eastAsia"/>
                <w:szCs w:val="21"/>
              </w:rPr>
              <w:t>设备</w:t>
            </w:r>
            <w:r w:rsidR="00BC1618"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企业联合开发</w:t>
            </w:r>
            <w:r w:rsidR="00FC5F2A">
              <w:rPr>
                <w:rFonts w:hint="eastAsia"/>
                <w:szCs w:val="21"/>
              </w:rPr>
              <w:t>；教育照明业务，虽受开学时间的影响有所延迟，但现在也都在积极推动中</w:t>
            </w:r>
            <w:r>
              <w:rPr>
                <w:rFonts w:hint="eastAsia"/>
                <w:szCs w:val="21"/>
              </w:rPr>
              <w:t>。</w:t>
            </w:r>
            <w:r w:rsidR="00BC1618">
              <w:rPr>
                <w:rFonts w:hint="eastAsia"/>
                <w:szCs w:val="21"/>
              </w:rPr>
              <w:t>总的</w:t>
            </w:r>
            <w:r w:rsidR="00FC5F2A">
              <w:rPr>
                <w:rFonts w:hint="eastAsia"/>
                <w:szCs w:val="21"/>
              </w:rPr>
              <w:t>来说，</w:t>
            </w:r>
            <w:r w:rsidR="00BC1618" w:rsidRPr="00BC1618">
              <w:rPr>
                <w:rFonts w:hint="eastAsia"/>
                <w:szCs w:val="21"/>
              </w:rPr>
              <w:t>公司将保持持续稳定健康的发展。</w:t>
            </w:r>
          </w:p>
          <w:p w:rsidR="00E0584D" w:rsidRPr="00E71638" w:rsidRDefault="00E0584D" w:rsidP="007739D7">
            <w:pPr>
              <w:widowControl/>
              <w:rPr>
                <w:szCs w:val="21"/>
              </w:rPr>
            </w:pPr>
          </w:p>
        </w:tc>
      </w:tr>
      <w:tr w:rsidR="00E71638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lastRenderedPageBreak/>
              <w:t>附件清单</w:t>
            </w:r>
          </w:p>
        </w:tc>
        <w:tc>
          <w:tcPr>
            <w:tcW w:w="6854" w:type="dxa"/>
          </w:tcPr>
          <w:p w:rsidR="00E76207" w:rsidRPr="00E71638" w:rsidRDefault="009A1D49">
            <w:pPr>
              <w:jc w:val="left"/>
              <w:rPr>
                <w:szCs w:val="21"/>
              </w:rPr>
            </w:pPr>
            <w:r w:rsidRPr="00E71638">
              <w:rPr>
                <w:szCs w:val="21"/>
              </w:rPr>
              <w:t>无</w:t>
            </w:r>
          </w:p>
        </w:tc>
      </w:tr>
      <w:tr w:rsidR="00E76207" w:rsidRPr="00E71638" w:rsidTr="006576A2">
        <w:tc>
          <w:tcPr>
            <w:tcW w:w="1668" w:type="dxa"/>
            <w:vAlign w:val="center"/>
          </w:tcPr>
          <w:p w:rsidR="00E76207" w:rsidRPr="00E71638" w:rsidRDefault="009A1D49">
            <w:pPr>
              <w:rPr>
                <w:szCs w:val="21"/>
              </w:rPr>
            </w:pPr>
            <w:r w:rsidRPr="00E71638">
              <w:rPr>
                <w:szCs w:val="21"/>
              </w:rPr>
              <w:t>日期</w:t>
            </w:r>
          </w:p>
        </w:tc>
        <w:tc>
          <w:tcPr>
            <w:tcW w:w="6854" w:type="dxa"/>
          </w:tcPr>
          <w:p w:rsidR="00E76207" w:rsidRPr="00E71638" w:rsidRDefault="009A1D49" w:rsidP="007739D7">
            <w:pPr>
              <w:jc w:val="left"/>
              <w:rPr>
                <w:szCs w:val="21"/>
              </w:rPr>
            </w:pPr>
            <w:r w:rsidRPr="00E71638">
              <w:rPr>
                <w:rFonts w:hint="eastAsia"/>
                <w:szCs w:val="21"/>
              </w:rPr>
              <w:t>20</w:t>
            </w:r>
            <w:r w:rsidR="00E71638" w:rsidRPr="00E71638">
              <w:rPr>
                <w:rFonts w:hint="eastAsia"/>
                <w:szCs w:val="21"/>
              </w:rPr>
              <w:t>20</w:t>
            </w:r>
            <w:r w:rsidRPr="00E71638">
              <w:rPr>
                <w:rFonts w:hint="eastAsia"/>
                <w:szCs w:val="21"/>
              </w:rPr>
              <w:t>年</w:t>
            </w:r>
            <w:r w:rsidR="00E71638" w:rsidRPr="00E71638">
              <w:rPr>
                <w:rFonts w:hint="eastAsia"/>
                <w:szCs w:val="21"/>
              </w:rPr>
              <w:t>0</w:t>
            </w:r>
            <w:r w:rsidR="007739D7">
              <w:rPr>
                <w:rFonts w:hint="eastAsia"/>
                <w:szCs w:val="21"/>
              </w:rPr>
              <w:t>6</w:t>
            </w:r>
            <w:r w:rsidRPr="00E71638">
              <w:rPr>
                <w:rFonts w:hint="eastAsia"/>
                <w:szCs w:val="21"/>
              </w:rPr>
              <w:t>月</w:t>
            </w:r>
            <w:r w:rsidR="007739D7">
              <w:rPr>
                <w:rFonts w:hint="eastAsia"/>
                <w:szCs w:val="21"/>
              </w:rPr>
              <w:t>17</w:t>
            </w:r>
            <w:r w:rsidRPr="00E71638">
              <w:rPr>
                <w:rFonts w:hint="eastAsia"/>
                <w:szCs w:val="21"/>
              </w:rPr>
              <w:t>日</w:t>
            </w:r>
          </w:p>
        </w:tc>
      </w:tr>
    </w:tbl>
    <w:p w:rsidR="00E76207" w:rsidRPr="00E71638" w:rsidRDefault="00E76207">
      <w:pPr>
        <w:jc w:val="left"/>
        <w:rPr>
          <w:szCs w:val="21"/>
        </w:rPr>
      </w:pPr>
    </w:p>
    <w:sectPr w:rsidR="00E76207" w:rsidRPr="00E7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04" w:rsidRDefault="00380204" w:rsidP="00532324">
      <w:r>
        <w:separator/>
      </w:r>
    </w:p>
  </w:endnote>
  <w:endnote w:type="continuationSeparator" w:id="0">
    <w:p w:rsidR="00380204" w:rsidRDefault="00380204" w:rsidP="0053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04" w:rsidRDefault="00380204" w:rsidP="00532324">
      <w:r>
        <w:separator/>
      </w:r>
    </w:p>
  </w:footnote>
  <w:footnote w:type="continuationSeparator" w:id="0">
    <w:p w:rsidR="00380204" w:rsidRDefault="00380204" w:rsidP="0053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388"/>
    <w:multiLevelType w:val="multilevel"/>
    <w:tmpl w:val="2775638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23772A"/>
    <w:multiLevelType w:val="hybridMultilevel"/>
    <w:tmpl w:val="B2E8E668"/>
    <w:lvl w:ilvl="0" w:tplc="95F0A0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1533A7"/>
    <w:multiLevelType w:val="hybridMultilevel"/>
    <w:tmpl w:val="CFCEC282"/>
    <w:lvl w:ilvl="0" w:tplc="858EFCE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775AB5"/>
    <w:multiLevelType w:val="hybridMultilevel"/>
    <w:tmpl w:val="28942EF8"/>
    <w:lvl w:ilvl="0" w:tplc="667075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13"/>
    <w:rsid w:val="0000258C"/>
    <w:rsid w:val="0001592A"/>
    <w:rsid w:val="00021FFF"/>
    <w:rsid w:val="00035E1A"/>
    <w:rsid w:val="000458A9"/>
    <w:rsid w:val="0005057D"/>
    <w:rsid w:val="00063244"/>
    <w:rsid w:val="00081336"/>
    <w:rsid w:val="000869BA"/>
    <w:rsid w:val="000C0072"/>
    <w:rsid w:val="000E6D32"/>
    <w:rsid w:val="00105C41"/>
    <w:rsid w:val="00107E83"/>
    <w:rsid w:val="00114BF4"/>
    <w:rsid w:val="00114E10"/>
    <w:rsid w:val="00117476"/>
    <w:rsid w:val="00120EFF"/>
    <w:rsid w:val="0013144D"/>
    <w:rsid w:val="001741DE"/>
    <w:rsid w:val="00185B3F"/>
    <w:rsid w:val="001A7EC5"/>
    <w:rsid w:val="001B1FA8"/>
    <w:rsid w:val="001D22CD"/>
    <w:rsid w:val="001E1DBA"/>
    <w:rsid w:val="001F2006"/>
    <w:rsid w:val="001F3FF9"/>
    <w:rsid w:val="001F5225"/>
    <w:rsid w:val="0020375E"/>
    <w:rsid w:val="00206258"/>
    <w:rsid w:val="00207F33"/>
    <w:rsid w:val="0021450E"/>
    <w:rsid w:val="002210E9"/>
    <w:rsid w:val="0022228B"/>
    <w:rsid w:val="00230089"/>
    <w:rsid w:val="00240829"/>
    <w:rsid w:val="00251A64"/>
    <w:rsid w:val="00261B70"/>
    <w:rsid w:val="00265F64"/>
    <w:rsid w:val="00275474"/>
    <w:rsid w:val="002772FC"/>
    <w:rsid w:val="002B28E2"/>
    <w:rsid w:val="002D1759"/>
    <w:rsid w:val="00323152"/>
    <w:rsid w:val="00324CC0"/>
    <w:rsid w:val="00344897"/>
    <w:rsid w:val="0035320A"/>
    <w:rsid w:val="003546CD"/>
    <w:rsid w:val="00373D7D"/>
    <w:rsid w:val="00376B74"/>
    <w:rsid w:val="00380204"/>
    <w:rsid w:val="00381A9F"/>
    <w:rsid w:val="00381F42"/>
    <w:rsid w:val="003B7A49"/>
    <w:rsid w:val="003D4E02"/>
    <w:rsid w:val="003E47F3"/>
    <w:rsid w:val="003E514F"/>
    <w:rsid w:val="003E5C18"/>
    <w:rsid w:val="003F5D34"/>
    <w:rsid w:val="00400090"/>
    <w:rsid w:val="00403938"/>
    <w:rsid w:val="00406D77"/>
    <w:rsid w:val="00422B67"/>
    <w:rsid w:val="00426439"/>
    <w:rsid w:val="00432A3D"/>
    <w:rsid w:val="004339DD"/>
    <w:rsid w:val="00444421"/>
    <w:rsid w:val="0046348F"/>
    <w:rsid w:val="00470F4E"/>
    <w:rsid w:val="00477298"/>
    <w:rsid w:val="00485676"/>
    <w:rsid w:val="004972DC"/>
    <w:rsid w:val="004A44DB"/>
    <w:rsid w:val="004C26D2"/>
    <w:rsid w:val="00505538"/>
    <w:rsid w:val="00512838"/>
    <w:rsid w:val="005155DE"/>
    <w:rsid w:val="00516051"/>
    <w:rsid w:val="005203AD"/>
    <w:rsid w:val="00532324"/>
    <w:rsid w:val="00554AA4"/>
    <w:rsid w:val="00582649"/>
    <w:rsid w:val="005B7052"/>
    <w:rsid w:val="005C07BC"/>
    <w:rsid w:val="005C6ADE"/>
    <w:rsid w:val="005D1D75"/>
    <w:rsid w:val="005F0889"/>
    <w:rsid w:val="005F5BB5"/>
    <w:rsid w:val="00600E2D"/>
    <w:rsid w:val="0060547C"/>
    <w:rsid w:val="00611DA1"/>
    <w:rsid w:val="0062679D"/>
    <w:rsid w:val="006377A7"/>
    <w:rsid w:val="00645C0B"/>
    <w:rsid w:val="00646C80"/>
    <w:rsid w:val="006576A2"/>
    <w:rsid w:val="00662C4D"/>
    <w:rsid w:val="00666F49"/>
    <w:rsid w:val="00667D50"/>
    <w:rsid w:val="00671E34"/>
    <w:rsid w:val="00675653"/>
    <w:rsid w:val="006906AF"/>
    <w:rsid w:val="006956CF"/>
    <w:rsid w:val="00695C6A"/>
    <w:rsid w:val="006A3CD8"/>
    <w:rsid w:val="006A5472"/>
    <w:rsid w:val="006D6130"/>
    <w:rsid w:val="006E3D6C"/>
    <w:rsid w:val="006F0C57"/>
    <w:rsid w:val="006F17DB"/>
    <w:rsid w:val="00714B25"/>
    <w:rsid w:val="00724ED9"/>
    <w:rsid w:val="00725577"/>
    <w:rsid w:val="00727C85"/>
    <w:rsid w:val="007641F9"/>
    <w:rsid w:val="007739D7"/>
    <w:rsid w:val="00783975"/>
    <w:rsid w:val="007B3FEF"/>
    <w:rsid w:val="007C7843"/>
    <w:rsid w:val="007D4170"/>
    <w:rsid w:val="007D492D"/>
    <w:rsid w:val="0081562F"/>
    <w:rsid w:val="008445D1"/>
    <w:rsid w:val="00844A8E"/>
    <w:rsid w:val="00847166"/>
    <w:rsid w:val="00850CB2"/>
    <w:rsid w:val="00853E62"/>
    <w:rsid w:val="0085795E"/>
    <w:rsid w:val="00865226"/>
    <w:rsid w:val="00870028"/>
    <w:rsid w:val="00872FD3"/>
    <w:rsid w:val="008B78A2"/>
    <w:rsid w:val="008C430A"/>
    <w:rsid w:val="008C61B1"/>
    <w:rsid w:val="008D000E"/>
    <w:rsid w:val="008E04DE"/>
    <w:rsid w:val="008E5480"/>
    <w:rsid w:val="008E5E7F"/>
    <w:rsid w:val="009031D9"/>
    <w:rsid w:val="00904795"/>
    <w:rsid w:val="00905BAC"/>
    <w:rsid w:val="009121B2"/>
    <w:rsid w:val="00926F56"/>
    <w:rsid w:val="00932CE3"/>
    <w:rsid w:val="0093716D"/>
    <w:rsid w:val="0094136D"/>
    <w:rsid w:val="009564F5"/>
    <w:rsid w:val="00965BEE"/>
    <w:rsid w:val="00977B0E"/>
    <w:rsid w:val="00997A7D"/>
    <w:rsid w:val="009A1D49"/>
    <w:rsid w:val="009C3101"/>
    <w:rsid w:val="009D0D08"/>
    <w:rsid w:val="009E3636"/>
    <w:rsid w:val="00A16087"/>
    <w:rsid w:val="00A27C60"/>
    <w:rsid w:val="00A441E8"/>
    <w:rsid w:val="00A452CD"/>
    <w:rsid w:val="00A47175"/>
    <w:rsid w:val="00A6483E"/>
    <w:rsid w:val="00A81FD1"/>
    <w:rsid w:val="00A82B8F"/>
    <w:rsid w:val="00A87306"/>
    <w:rsid w:val="00A96D03"/>
    <w:rsid w:val="00AA7F6A"/>
    <w:rsid w:val="00AB4C0F"/>
    <w:rsid w:val="00AE6C85"/>
    <w:rsid w:val="00AE6DAA"/>
    <w:rsid w:val="00B0079A"/>
    <w:rsid w:val="00B00A9E"/>
    <w:rsid w:val="00B0433B"/>
    <w:rsid w:val="00B14B65"/>
    <w:rsid w:val="00B17491"/>
    <w:rsid w:val="00B20BA7"/>
    <w:rsid w:val="00B21B13"/>
    <w:rsid w:val="00B30BD7"/>
    <w:rsid w:val="00B3324D"/>
    <w:rsid w:val="00B413A1"/>
    <w:rsid w:val="00B563B9"/>
    <w:rsid w:val="00B64C27"/>
    <w:rsid w:val="00B66780"/>
    <w:rsid w:val="00B72A56"/>
    <w:rsid w:val="00B80E65"/>
    <w:rsid w:val="00B848F8"/>
    <w:rsid w:val="00B86CD7"/>
    <w:rsid w:val="00B92470"/>
    <w:rsid w:val="00B93D90"/>
    <w:rsid w:val="00BC1618"/>
    <w:rsid w:val="00BC6BDD"/>
    <w:rsid w:val="00BF2DF9"/>
    <w:rsid w:val="00BF64F5"/>
    <w:rsid w:val="00C11B03"/>
    <w:rsid w:val="00C14C9C"/>
    <w:rsid w:val="00C404D7"/>
    <w:rsid w:val="00C63E6D"/>
    <w:rsid w:val="00C96744"/>
    <w:rsid w:val="00CA61CB"/>
    <w:rsid w:val="00CB77AC"/>
    <w:rsid w:val="00CC15BD"/>
    <w:rsid w:val="00CC7D13"/>
    <w:rsid w:val="00CE443D"/>
    <w:rsid w:val="00D26220"/>
    <w:rsid w:val="00D3017D"/>
    <w:rsid w:val="00D341FD"/>
    <w:rsid w:val="00D45B48"/>
    <w:rsid w:val="00D557A7"/>
    <w:rsid w:val="00D747B6"/>
    <w:rsid w:val="00D77DBD"/>
    <w:rsid w:val="00D91CDE"/>
    <w:rsid w:val="00DA6506"/>
    <w:rsid w:val="00DB6747"/>
    <w:rsid w:val="00DF4CCC"/>
    <w:rsid w:val="00E00288"/>
    <w:rsid w:val="00E004D6"/>
    <w:rsid w:val="00E00F33"/>
    <w:rsid w:val="00E0584D"/>
    <w:rsid w:val="00E21803"/>
    <w:rsid w:val="00E36B05"/>
    <w:rsid w:val="00E37D78"/>
    <w:rsid w:val="00E71638"/>
    <w:rsid w:val="00E724BA"/>
    <w:rsid w:val="00E73D24"/>
    <w:rsid w:val="00E76207"/>
    <w:rsid w:val="00E83A44"/>
    <w:rsid w:val="00E92553"/>
    <w:rsid w:val="00EA14E3"/>
    <w:rsid w:val="00EA560F"/>
    <w:rsid w:val="00EA6EED"/>
    <w:rsid w:val="00EA76CF"/>
    <w:rsid w:val="00EB78ED"/>
    <w:rsid w:val="00EC2BDC"/>
    <w:rsid w:val="00EC59F2"/>
    <w:rsid w:val="00EC7067"/>
    <w:rsid w:val="00EE34D4"/>
    <w:rsid w:val="00EE7BD1"/>
    <w:rsid w:val="00F25ADA"/>
    <w:rsid w:val="00F326C2"/>
    <w:rsid w:val="00F452F1"/>
    <w:rsid w:val="00F672DA"/>
    <w:rsid w:val="00F80E33"/>
    <w:rsid w:val="00F8191D"/>
    <w:rsid w:val="00F94EA8"/>
    <w:rsid w:val="00FB0A63"/>
    <w:rsid w:val="00FB72BD"/>
    <w:rsid w:val="00FC5F2A"/>
    <w:rsid w:val="00FD0BE6"/>
    <w:rsid w:val="00FD3F74"/>
    <w:rsid w:val="00FD583B"/>
    <w:rsid w:val="04467AC1"/>
    <w:rsid w:val="37152AC3"/>
    <w:rsid w:val="524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32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32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钱前坤</cp:lastModifiedBy>
  <cp:revision>177</cp:revision>
  <dcterms:created xsi:type="dcterms:W3CDTF">2017-05-16T07:37:00Z</dcterms:created>
  <dcterms:modified xsi:type="dcterms:W3CDTF">2020-06-19T09:32:00Z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