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5CDA8" w14:textId="77777777" w:rsidR="00184AF0" w:rsidRDefault="00A51BE5">
      <w:pPr>
        <w:spacing w:beforeLines="50" w:before="156" w:afterLines="50" w:after="156" w:line="360" w:lineRule="auto"/>
        <w:ind w:firstLineChars="300" w:firstLine="720"/>
        <w:rPr>
          <w:rFonts w:ascii="宋体" w:hAnsi="宋体"/>
          <w:bCs/>
          <w:iCs/>
          <w:sz w:val="24"/>
        </w:rPr>
      </w:pPr>
      <w:r>
        <w:rPr>
          <w:rFonts w:ascii="宋体" w:hAnsi="宋体" w:hint="eastAsia"/>
          <w:bCs/>
          <w:iCs/>
          <w:sz w:val="24"/>
        </w:rPr>
        <w:t>证券代码：002675                        证券简称：东诚药业</w:t>
      </w:r>
    </w:p>
    <w:p w14:paraId="3F1F68A5" w14:textId="77777777" w:rsidR="00184AF0" w:rsidRDefault="00A51BE5">
      <w:pPr>
        <w:spacing w:beforeLines="50" w:before="156" w:afterLines="50" w:after="156" w:line="360" w:lineRule="auto"/>
        <w:jc w:val="center"/>
        <w:rPr>
          <w:rFonts w:ascii="宋体" w:hAnsi="宋体"/>
          <w:b/>
          <w:bCs/>
          <w:iCs/>
          <w:sz w:val="24"/>
          <w:szCs w:val="24"/>
        </w:rPr>
      </w:pPr>
      <w:r>
        <w:rPr>
          <w:rFonts w:ascii="宋体" w:hAnsi="宋体" w:hint="eastAsia"/>
          <w:b/>
          <w:bCs/>
          <w:iCs/>
          <w:sz w:val="24"/>
          <w:szCs w:val="24"/>
        </w:rPr>
        <w:t>烟台东诚药业集团股份有限公司投资者关系活动记录表</w:t>
      </w:r>
    </w:p>
    <w:p w14:paraId="32FE47C7" w14:textId="69534891" w:rsidR="00184AF0" w:rsidRDefault="00A51BE5">
      <w:pPr>
        <w:spacing w:line="360" w:lineRule="auto"/>
        <w:jc w:val="right"/>
        <w:rPr>
          <w:rFonts w:ascii="宋体" w:hAnsi="宋体"/>
          <w:bCs/>
          <w:iCs/>
          <w:sz w:val="24"/>
          <w:szCs w:val="24"/>
        </w:rPr>
      </w:pPr>
      <w:r>
        <w:rPr>
          <w:rFonts w:ascii="宋体" w:hAnsi="宋体" w:hint="eastAsia"/>
          <w:bCs/>
          <w:iCs/>
          <w:sz w:val="24"/>
          <w:szCs w:val="24"/>
        </w:rPr>
        <w:t>编号：20</w:t>
      </w:r>
      <w:r>
        <w:rPr>
          <w:rFonts w:ascii="宋体" w:hAnsi="宋体"/>
          <w:bCs/>
          <w:iCs/>
          <w:sz w:val="24"/>
          <w:szCs w:val="24"/>
        </w:rPr>
        <w:t>20</w:t>
      </w:r>
      <w:r>
        <w:rPr>
          <w:rFonts w:ascii="宋体" w:hAnsi="宋体" w:hint="eastAsia"/>
          <w:bCs/>
          <w:iCs/>
          <w:sz w:val="24"/>
          <w:szCs w:val="24"/>
        </w:rPr>
        <w:t>-00</w:t>
      </w:r>
      <w:r w:rsidR="00265E9A">
        <w:rPr>
          <w:rFonts w:ascii="宋体" w:hAnsi="宋体"/>
          <w:bCs/>
          <w:iCs/>
          <w:sz w:val="24"/>
          <w:szCs w:val="24"/>
        </w:rPr>
        <w:t>7</w:t>
      </w:r>
    </w:p>
    <w:p w14:paraId="60145BDB" w14:textId="77777777" w:rsidR="00184AF0" w:rsidRDefault="00184AF0">
      <w:pPr>
        <w:spacing w:beforeLines="50" w:before="156" w:afterLines="50" w:after="156" w:line="360" w:lineRule="auto"/>
        <w:rPr>
          <w:rFonts w:ascii="宋体" w:hAnsi="宋体"/>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614"/>
      </w:tblGrid>
      <w:tr w:rsidR="00184AF0" w14:paraId="0429ADE7" w14:textId="77777777">
        <w:tc>
          <w:tcPr>
            <w:tcW w:w="1908" w:type="dxa"/>
            <w:shd w:val="clear" w:color="auto" w:fill="auto"/>
          </w:tcPr>
          <w:p w14:paraId="0814D41A" w14:textId="77777777" w:rsidR="00184AF0" w:rsidRDefault="00A51BE5">
            <w:pPr>
              <w:spacing w:line="360" w:lineRule="auto"/>
              <w:rPr>
                <w:rFonts w:ascii="宋体" w:hAnsi="宋体"/>
                <w:b/>
                <w:bCs/>
                <w:iCs/>
                <w:sz w:val="24"/>
                <w:szCs w:val="24"/>
              </w:rPr>
            </w:pPr>
            <w:r>
              <w:rPr>
                <w:rFonts w:ascii="宋体" w:hAnsi="宋体" w:hint="eastAsia"/>
                <w:b/>
                <w:bCs/>
                <w:iCs/>
                <w:sz w:val="24"/>
                <w:szCs w:val="24"/>
              </w:rPr>
              <w:t>投资者关系活动类别</w:t>
            </w:r>
          </w:p>
          <w:p w14:paraId="2219A05F" w14:textId="77777777" w:rsidR="00184AF0" w:rsidRDefault="00184AF0">
            <w:pPr>
              <w:spacing w:line="360" w:lineRule="auto"/>
              <w:rPr>
                <w:rFonts w:ascii="宋体" w:hAnsi="宋体"/>
                <w:b/>
                <w:bCs/>
                <w:iCs/>
                <w:sz w:val="24"/>
                <w:szCs w:val="24"/>
              </w:rPr>
            </w:pPr>
          </w:p>
        </w:tc>
        <w:tc>
          <w:tcPr>
            <w:tcW w:w="6614" w:type="dxa"/>
            <w:shd w:val="clear" w:color="auto" w:fill="auto"/>
          </w:tcPr>
          <w:p w14:paraId="4C2A1575" w14:textId="77777777" w:rsidR="00184AF0" w:rsidRDefault="00A51BE5">
            <w:pPr>
              <w:spacing w:line="360" w:lineRule="auto"/>
              <w:rPr>
                <w:rFonts w:ascii="宋体" w:hAnsi="宋体"/>
                <w:bCs/>
                <w:iCs/>
                <w:sz w:val="24"/>
                <w:szCs w:val="24"/>
              </w:rPr>
            </w:pPr>
            <w:r>
              <w:rPr>
                <w:rFonts w:ascii="宋体" w:hAnsi="宋体" w:hint="eastAsia"/>
                <w:bCs/>
                <w:iCs/>
                <w:color w:val="000000"/>
                <w:sz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14:paraId="05860525" w14:textId="77777777" w:rsidR="00184AF0" w:rsidRDefault="00A51BE5">
            <w:pPr>
              <w:spacing w:line="360" w:lineRule="auto"/>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0180158A" w14:textId="77777777" w:rsidR="00184AF0" w:rsidRDefault="00A51BE5">
            <w:pPr>
              <w:spacing w:line="360" w:lineRule="auto"/>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29C71258" w14:textId="3B4D95C6" w:rsidR="00184AF0" w:rsidRDefault="00265E9A">
            <w:pPr>
              <w:tabs>
                <w:tab w:val="left" w:pos="3045"/>
                <w:tab w:val="center" w:pos="3199"/>
              </w:tabs>
              <w:spacing w:line="360" w:lineRule="auto"/>
              <w:rPr>
                <w:rFonts w:ascii="宋体" w:hAnsi="宋体"/>
                <w:bCs/>
                <w:iCs/>
                <w:sz w:val="24"/>
                <w:szCs w:val="24"/>
              </w:rPr>
            </w:pPr>
            <w:r>
              <w:rPr>
                <w:rFonts w:ascii="宋体" w:hAnsi="宋体" w:hint="eastAsia"/>
                <w:bCs/>
                <w:iCs/>
                <w:sz w:val="24"/>
                <w:szCs w:val="24"/>
              </w:rPr>
              <w:t>□</w:t>
            </w:r>
            <w:r w:rsidR="00A51BE5">
              <w:rPr>
                <w:rFonts w:ascii="宋体" w:hAnsi="宋体" w:hint="eastAsia"/>
                <w:sz w:val="24"/>
                <w:szCs w:val="24"/>
              </w:rPr>
              <w:t>现场参观</w:t>
            </w:r>
            <w:r w:rsidR="00A51BE5">
              <w:rPr>
                <w:rFonts w:ascii="宋体" w:hAnsi="宋体"/>
                <w:bCs/>
                <w:iCs/>
                <w:sz w:val="24"/>
                <w:szCs w:val="24"/>
              </w:rPr>
              <w:tab/>
            </w:r>
          </w:p>
          <w:p w14:paraId="5517912F" w14:textId="1B9B991C" w:rsidR="00184AF0" w:rsidRDefault="00265E9A">
            <w:pPr>
              <w:tabs>
                <w:tab w:val="center" w:pos="3199"/>
              </w:tabs>
              <w:spacing w:line="360" w:lineRule="auto"/>
              <w:rPr>
                <w:rFonts w:ascii="宋体" w:hAnsi="宋体"/>
                <w:bCs/>
                <w:iCs/>
                <w:sz w:val="24"/>
                <w:szCs w:val="24"/>
              </w:rPr>
            </w:pPr>
            <w:r>
              <w:rPr>
                <w:rFonts w:ascii="宋体" w:hAnsi="宋体" w:hint="eastAsia"/>
                <w:bCs/>
                <w:iCs/>
                <w:color w:val="000000"/>
                <w:sz w:val="24"/>
              </w:rPr>
              <w:t>■</w:t>
            </w:r>
            <w:r w:rsidR="00A51BE5">
              <w:rPr>
                <w:rFonts w:ascii="宋体" w:hAnsi="宋体" w:hint="eastAsia"/>
                <w:sz w:val="24"/>
                <w:szCs w:val="24"/>
              </w:rPr>
              <w:t>其他 （</w:t>
            </w:r>
            <w:r w:rsidR="00A51BE5">
              <w:rPr>
                <w:rFonts w:ascii="宋体" w:hAnsi="宋体" w:hint="eastAsia"/>
                <w:sz w:val="24"/>
                <w:szCs w:val="24"/>
                <w:u w:val="single"/>
              </w:rPr>
              <w:t>电话会议）</w:t>
            </w:r>
          </w:p>
        </w:tc>
      </w:tr>
      <w:tr w:rsidR="00184AF0" w14:paraId="76C5D40B" w14:textId="77777777">
        <w:tc>
          <w:tcPr>
            <w:tcW w:w="1908" w:type="dxa"/>
            <w:shd w:val="clear" w:color="auto" w:fill="auto"/>
          </w:tcPr>
          <w:p w14:paraId="4E012F6A" w14:textId="29B8135F" w:rsidR="00184AF0" w:rsidRDefault="00A51BE5">
            <w:pPr>
              <w:spacing w:line="360" w:lineRule="auto"/>
              <w:rPr>
                <w:rFonts w:ascii="宋体" w:hAnsi="宋体"/>
                <w:b/>
                <w:bCs/>
                <w:iCs/>
                <w:sz w:val="24"/>
                <w:szCs w:val="24"/>
                <w:highlight w:val="yellow"/>
              </w:rPr>
            </w:pPr>
            <w:r>
              <w:rPr>
                <w:rFonts w:ascii="宋体" w:hAnsi="宋体" w:hint="eastAsia"/>
                <w:b/>
                <w:bCs/>
                <w:iCs/>
                <w:sz w:val="24"/>
                <w:szCs w:val="24"/>
              </w:rPr>
              <w:t>参与单位名称</w:t>
            </w:r>
            <w:r w:rsidR="00A6150F">
              <w:rPr>
                <w:rFonts w:ascii="宋体" w:hAnsi="宋体" w:hint="eastAsia"/>
                <w:b/>
                <w:bCs/>
                <w:iCs/>
                <w:sz w:val="24"/>
                <w:szCs w:val="24"/>
              </w:rPr>
              <w:t>、简介及</w:t>
            </w:r>
            <w:r>
              <w:rPr>
                <w:rFonts w:ascii="宋体" w:hAnsi="宋体" w:hint="eastAsia"/>
                <w:b/>
                <w:bCs/>
                <w:iCs/>
                <w:sz w:val="24"/>
                <w:szCs w:val="24"/>
              </w:rPr>
              <w:t>人员姓名</w:t>
            </w:r>
          </w:p>
        </w:tc>
        <w:tc>
          <w:tcPr>
            <w:tcW w:w="6614" w:type="dxa"/>
            <w:shd w:val="clear" w:color="auto" w:fill="auto"/>
          </w:tcPr>
          <w:p w14:paraId="18806011" w14:textId="77777777" w:rsidR="00265E9A" w:rsidRDefault="00265E9A" w:rsidP="0091164D">
            <w:pPr>
              <w:spacing w:line="360" w:lineRule="auto"/>
              <w:rPr>
                <w:rFonts w:ascii="宋体" w:hAnsi="宋体"/>
                <w:bCs/>
                <w:iCs/>
                <w:color w:val="000000"/>
                <w:sz w:val="24"/>
              </w:rPr>
            </w:pPr>
            <w:r>
              <w:rPr>
                <w:rFonts w:ascii="宋体" w:hAnsi="宋体" w:hint="eastAsia"/>
                <w:bCs/>
                <w:iCs/>
                <w:color w:val="000000"/>
                <w:sz w:val="24"/>
              </w:rPr>
              <w:t>信达</w:t>
            </w:r>
            <w:r w:rsidR="00BB2028">
              <w:rPr>
                <w:rFonts w:ascii="宋体" w:hAnsi="宋体" w:hint="eastAsia"/>
                <w:bCs/>
                <w:iCs/>
                <w:color w:val="000000"/>
                <w:sz w:val="24"/>
              </w:rPr>
              <w:t>证券</w:t>
            </w:r>
            <w:r w:rsidR="00E81E57">
              <w:rPr>
                <w:rFonts w:ascii="宋体" w:hAnsi="宋体" w:hint="eastAsia"/>
                <w:bCs/>
                <w:iCs/>
                <w:color w:val="000000"/>
                <w:sz w:val="24"/>
              </w:rPr>
              <w:t>医药</w:t>
            </w:r>
            <w:r w:rsidR="00273D2E">
              <w:rPr>
                <w:rFonts w:ascii="宋体" w:hAnsi="宋体" w:hint="eastAsia"/>
                <w:bCs/>
                <w:iCs/>
                <w:color w:val="000000"/>
                <w:sz w:val="24"/>
              </w:rPr>
              <w:t>分析师：</w:t>
            </w:r>
            <w:r>
              <w:rPr>
                <w:rFonts w:ascii="宋体" w:hAnsi="宋体" w:hint="eastAsia"/>
                <w:bCs/>
                <w:iCs/>
                <w:color w:val="000000"/>
                <w:sz w:val="24"/>
              </w:rPr>
              <w:t>杨松、张雪</w:t>
            </w:r>
          </w:p>
          <w:p w14:paraId="5D878E01" w14:textId="22BC5AC6" w:rsidR="00273D2E" w:rsidRDefault="00265E9A" w:rsidP="0091164D">
            <w:pPr>
              <w:spacing w:line="360" w:lineRule="auto"/>
              <w:rPr>
                <w:rFonts w:ascii="宋体" w:hAnsi="宋体"/>
                <w:bCs/>
                <w:iCs/>
                <w:color w:val="000000"/>
                <w:sz w:val="24"/>
              </w:rPr>
            </w:pPr>
            <w:r>
              <w:rPr>
                <w:rFonts w:ascii="宋体" w:hAnsi="宋体" w:hint="eastAsia"/>
                <w:bCs/>
                <w:iCs/>
                <w:color w:val="000000"/>
                <w:sz w:val="24"/>
              </w:rPr>
              <w:t>永赢基金：焦阳、江昕</w:t>
            </w:r>
          </w:p>
          <w:p w14:paraId="03D04467" w14:textId="77777777" w:rsidR="002F60A6" w:rsidRDefault="00265E9A" w:rsidP="00265E9A">
            <w:pPr>
              <w:spacing w:line="360" w:lineRule="auto"/>
              <w:rPr>
                <w:rFonts w:ascii="宋体" w:hAnsi="宋体"/>
                <w:bCs/>
                <w:iCs/>
                <w:color w:val="000000"/>
                <w:sz w:val="24"/>
              </w:rPr>
            </w:pPr>
            <w:r>
              <w:rPr>
                <w:rFonts w:ascii="宋体" w:hAnsi="宋体" w:hint="eastAsia"/>
                <w:bCs/>
                <w:iCs/>
                <w:color w:val="000000"/>
                <w:sz w:val="24"/>
              </w:rPr>
              <w:t>万家基金：况晓</w:t>
            </w:r>
          </w:p>
          <w:p w14:paraId="61249887"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长信基金：张子桥</w:t>
            </w:r>
          </w:p>
          <w:p w14:paraId="6629B0E5"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中欧基金：卞玺云</w:t>
            </w:r>
          </w:p>
          <w:p w14:paraId="5021ACA7"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摩根士丹利华鑫基金：王卫铭</w:t>
            </w:r>
          </w:p>
          <w:p w14:paraId="52F6C2EB"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富国基金：李淼</w:t>
            </w:r>
          </w:p>
          <w:p w14:paraId="7230B5E9"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嘉实基金：谭丽</w:t>
            </w:r>
          </w:p>
          <w:p w14:paraId="26B8133A"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长盛基金：吴达</w:t>
            </w:r>
          </w:p>
          <w:p w14:paraId="4D34774A"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中融基金：杜伟</w:t>
            </w:r>
          </w:p>
          <w:p w14:paraId="42942EFA"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和煦智远基金：陈婧琳</w:t>
            </w:r>
          </w:p>
          <w:p w14:paraId="74FF373C"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明世伙伴基金：王祎佳</w:t>
            </w:r>
          </w:p>
          <w:p w14:paraId="467E7507"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东吴基金：毛科君</w:t>
            </w:r>
          </w:p>
          <w:p w14:paraId="03B4633A"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华富基金：傅晟</w:t>
            </w:r>
          </w:p>
          <w:p w14:paraId="4F001F3A"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华安基金：杨综心</w:t>
            </w:r>
          </w:p>
          <w:p w14:paraId="5851F784"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中科沃土基金：孟禄程</w:t>
            </w:r>
          </w:p>
          <w:p w14:paraId="27A0773F"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工银瑞信基金：王君正</w:t>
            </w:r>
          </w:p>
          <w:p w14:paraId="529B6171" w14:textId="77777777" w:rsidR="00265E9A" w:rsidRDefault="00265E9A" w:rsidP="00265E9A">
            <w:pPr>
              <w:spacing w:line="360" w:lineRule="auto"/>
              <w:rPr>
                <w:rFonts w:ascii="宋体" w:hAnsi="宋体"/>
                <w:bCs/>
                <w:iCs/>
                <w:color w:val="000000"/>
                <w:sz w:val="24"/>
              </w:rPr>
            </w:pPr>
            <w:r>
              <w:rPr>
                <w:rFonts w:ascii="宋体" w:hAnsi="宋体" w:hint="eastAsia"/>
                <w:bCs/>
                <w:iCs/>
                <w:color w:val="000000"/>
                <w:sz w:val="24"/>
              </w:rPr>
              <w:t>华夏久赢基金：桑永亮</w:t>
            </w:r>
          </w:p>
          <w:p w14:paraId="34328685" w14:textId="77777777" w:rsidR="00265E9A" w:rsidRDefault="00747448" w:rsidP="00265E9A">
            <w:pPr>
              <w:spacing w:line="360" w:lineRule="auto"/>
              <w:rPr>
                <w:rFonts w:ascii="宋体" w:hAnsi="宋体"/>
                <w:bCs/>
                <w:iCs/>
                <w:color w:val="000000"/>
                <w:sz w:val="24"/>
              </w:rPr>
            </w:pPr>
            <w:r>
              <w:rPr>
                <w:rFonts w:ascii="宋体" w:hAnsi="宋体" w:hint="eastAsia"/>
                <w:bCs/>
                <w:iCs/>
                <w:color w:val="000000"/>
                <w:sz w:val="24"/>
              </w:rPr>
              <w:t>人保资产：蔡春根</w:t>
            </w:r>
          </w:p>
          <w:p w14:paraId="1E9697F7"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lastRenderedPageBreak/>
              <w:t>太平资产：薛娜</w:t>
            </w:r>
          </w:p>
          <w:p w14:paraId="72B5EA6F"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中国人寿养老保险：张树声</w:t>
            </w:r>
          </w:p>
          <w:p w14:paraId="0BBE5FA1"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华城资本：王伟</w:t>
            </w:r>
          </w:p>
          <w:p w14:paraId="177BC8A0"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建信保险资管：韩笑</w:t>
            </w:r>
          </w:p>
          <w:p w14:paraId="664AC5B6"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永安国富资管：张文平</w:t>
            </w:r>
          </w:p>
          <w:p w14:paraId="290B6B5B"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信达证券资管：李慧瑶</w:t>
            </w:r>
          </w:p>
          <w:p w14:paraId="3AD61C3C"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乘安资产：王镜程</w:t>
            </w:r>
          </w:p>
          <w:p w14:paraId="70DFDF26"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长城财富资管：胡宏亮</w:t>
            </w:r>
          </w:p>
          <w:p w14:paraId="2DA8917E"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人保资管：韩成盛</w:t>
            </w:r>
          </w:p>
          <w:p w14:paraId="4046D2CA"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建信保险资管：杨建楠</w:t>
            </w:r>
          </w:p>
          <w:p w14:paraId="5B0F96B3"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上海恒复投资：任靖</w:t>
            </w:r>
          </w:p>
          <w:p w14:paraId="28ECF228" w14:textId="77777777" w:rsidR="00747448" w:rsidRDefault="00747448" w:rsidP="00265E9A">
            <w:pPr>
              <w:spacing w:line="360" w:lineRule="auto"/>
              <w:rPr>
                <w:rFonts w:ascii="宋体" w:hAnsi="宋体"/>
                <w:bCs/>
                <w:iCs/>
                <w:color w:val="000000"/>
                <w:sz w:val="24"/>
              </w:rPr>
            </w:pPr>
            <w:r>
              <w:rPr>
                <w:rFonts w:ascii="宋体" w:hAnsi="宋体" w:hint="eastAsia"/>
                <w:bCs/>
                <w:iCs/>
                <w:color w:val="000000"/>
                <w:sz w:val="24"/>
              </w:rPr>
              <w:t>千合资本：崔同魁</w:t>
            </w:r>
          </w:p>
          <w:p w14:paraId="3F3F344A" w14:textId="431BCC52" w:rsidR="00747448" w:rsidRPr="002F60A6" w:rsidRDefault="00747448" w:rsidP="00265E9A">
            <w:pPr>
              <w:spacing w:line="360" w:lineRule="auto"/>
              <w:rPr>
                <w:rFonts w:ascii="宋体" w:hAnsi="宋体"/>
                <w:bCs/>
                <w:iCs/>
                <w:color w:val="000000"/>
                <w:sz w:val="24"/>
              </w:rPr>
            </w:pPr>
            <w:r>
              <w:rPr>
                <w:rFonts w:ascii="宋体" w:hAnsi="宋体" w:hint="eastAsia"/>
                <w:bCs/>
                <w:iCs/>
                <w:color w:val="000000"/>
                <w:sz w:val="24"/>
              </w:rPr>
              <w:t>华融证券：周彦希</w:t>
            </w:r>
          </w:p>
        </w:tc>
      </w:tr>
      <w:tr w:rsidR="00184AF0" w14:paraId="1909F943" w14:textId="77777777">
        <w:tc>
          <w:tcPr>
            <w:tcW w:w="1908" w:type="dxa"/>
            <w:shd w:val="clear" w:color="auto" w:fill="auto"/>
          </w:tcPr>
          <w:p w14:paraId="1E64B00C" w14:textId="77777777" w:rsidR="00184AF0" w:rsidRDefault="00A51BE5">
            <w:pPr>
              <w:spacing w:line="360" w:lineRule="auto"/>
              <w:rPr>
                <w:rFonts w:ascii="宋体" w:hAnsi="宋体"/>
                <w:b/>
                <w:bCs/>
                <w:iCs/>
                <w:sz w:val="24"/>
                <w:szCs w:val="24"/>
              </w:rPr>
            </w:pPr>
            <w:r>
              <w:rPr>
                <w:rFonts w:ascii="宋体" w:hAnsi="宋体" w:hint="eastAsia"/>
                <w:b/>
                <w:bCs/>
                <w:iCs/>
                <w:sz w:val="24"/>
                <w:szCs w:val="24"/>
              </w:rPr>
              <w:lastRenderedPageBreak/>
              <w:t>时间</w:t>
            </w:r>
          </w:p>
        </w:tc>
        <w:tc>
          <w:tcPr>
            <w:tcW w:w="6614" w:type="dxa"/>
            <w:shd w:val="clear" w:color="auto" w:fill="auto"/>
          </w:tcPr>
          <w:p w14:paraId="17C26E31" w14:textId="394F959C" w:rsidR="00184AF0" w:rsidRDefault="00A51BE5">
            <w:pPr>
              <w:spacing w:line="360" w:lineRule="auto"/>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Pr>
                <w:rFonts w:ascii="宋体" w:hAnsi="宋体" w:hint="eastAsia"/>
                <w:bCs/>
                <w:iCs/>
                <w:sz w:val="24"/>
                <w:szCs w:val="24"/>
              </w:rPr>
              <w:t>年</w:t>
            </w:r>
            <w:r w:rsidR="00CD03DF">
              <w:rPr>
                <w:rFonts w:ascii="宋体" w:hAnsi="宋体" w:hint="eastAsia"/>
                <w:bCs/>
                <w:iCs/>
                <w:sz w:val="24"/>
                <w:szCs w:val="24"/>
              </w:rPr>
              <w:t>6</w:t>
            </w:r>
            <w:r>
              <w:rPr>
                <w:rFonts w:ascii="宋体" w:hAnsi="宋体" w:hint="eastAsia"/>
                <w:bCs/>
                <w:iCs/>
                <w:sz w:val="24"/>
                <w:szCs w:val="24"/>
              </w:rPr>
              <w:t>月</w:t>
            </w:r>
            <w:r w:rsidR="0077525E">
              <w:rPr>
                <w:rFonts w:ascii="宋体" w:hAnsi="宋体" w:hint="eastAsia"/>
                <w:bCs/>
                <w:iCs/>
                <w:sz w:val="24"/>
                <w:szCs w:val="24"/>
              </w:rPr>
              <w:t>1</w:t>
            </w:r>
            <w:r w:rsidR="00265E9A">
              <w:rPr>
                <w:rFonts w:ascii="宋体" w:hAnsi="宋体"/>
                <w:bCs/>
                <w:iCs/>
                <w:sz w:val="24"/>
                <w:szCs w:val="24"/>
              </w:rPr>
              <w:t>7</w:t>
            </w:r>
            <w:r>
              <w:rPr>
                <w:rFonts w:ascii="宋体" w:hAnsi="宋体" w:hint="eastAsia"/>
                <w:bCs/>
                <w:iCs/>
                <w:sz w:val="24"/>
                <w:szCs w:val="24"/>
              </w:rPr>
              <w:t>日</w:t>
            </w:r>
          </w:p>
        </w:tc>
      </w:tr>
      <w:tr w:rsidR="00184AF0" w14:paraId="24FE344B" w14:textId="77777777">
        <w:tc>
          <w:tcPr>
            <w:tcW w:w="1908" w:type="dxa"/>
            <w:shd w:val="clear" w:color="auto" w:fill="auto"/>
          </w:tcPr>
          <w:p w14:paraId="2EAC404E" w14:textId="77777777" w:rsidR="00184AF0" w:rsidRDefault="00A51BE5">
            <w:pPr>
              <w:spacing w:line="360" w:lineRule="auto"/>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212BB652" w14:textId="1418BE0E" w:rsidR="00184AF0" w:rsidRDefault="00A51BE5">
            <w:pPr>
              <w:spacing w:line="360" w:lineRule="auto"/>
              <w:rPr>
                <w:rFonts w:ascii="宋体" w:hAnsi="宋体"/>
                <w:bCs/>
                <w:iCs/>
                <w:sz w:val="24"/>
                <w:szCs w:val="24"/>
              </w:rPr>
            </w:pPr>
            <w:r>
              <w:rPr>
                <w:rFonts w:ascii="宋体" w:hAnsi="宋体" w:hint="eastAsia"/>
                <w:bCs/>
                <w:iCs/>
                <w:color w:val="000000"/>
                <w:sz w:val="24"/>
              </w:rPr>
              <w:t>烟台经济技术开发区长白山路7号公司会议室</w:t>
            </w:r>
          </w:p>
        </w:tc>
      </w:tr>
      <w:tr w:rsidR="00184AF0" w14:paraId="2E31A57A" w14:textId="77777777">
        <w:tc>
          <w:tcPr>
            <w:tcW w:w="1908" w:type="dxa"/>
            <w:shd w:val="clear" w:color="auto" w:fill="auto"/>
          </w:tcPr>
          <w:p w14:paraId="4728E62E" w14:textId="77777777" w:rsidR="00184AF0" w:rsidRDefault="00A51BE5">
            <w:pPr>
              <w:spacing w:line="360" w:lineRule="auto"/>
              <w:rPr>
                <w:rFonts w:ascii="宋体" w:hAnsi="宋体"/>
                <w:b/>
                <w:bCs/>
                <w:iCs/>
                <w:sz w:val="24"/>
                <w:szCs w:val="24"/>
                <w:highlight w:val="yellow"/>
              </w:rPr>
            </w:pPr>
            <w:r>
              <w:rPr>
                <w:rFonts w:ascii="宋体" w:hAnsi="宋体" w:hint="eastAsia"/>
                <w:b/>
                <w:bCs/>
                <w:iCs/>
                <w:sz w:val="24"/>
                <w:szCs w:val="24"/>
              </w:rPr>
              <w:t>上市公司接待人员姓名</w:t>
            </w:r>
          </w:p>
        </w:tc>
        <w:tc>
          <w:tcPr>
            <w:tcW w:w="6614" w:type="dxa"/>
            <w:shd w:val="clear" w:color="auto" w:fill="auto"/>
          </w:tcPr>
          <w:p w14:paraId="2119EA76" w14:textId="20EFB26D" w:rsidR="00184AF0" w:rsidRDefault="00A51BE5">
            <w:pPr>
              <w:spacing w:line="360" w:lineRule="auto"/>
              <w:rPr>
                <w:rFonts w:ascii="宋体" w:hAnsi="宋体"/>
                <w:bCs/>
                <w:iCs/>
                <w:color w:val="000000"/>
                <w:sz w:val="24"/>
              </w:rPr>
            </w:pPr>
            <w:r>
              <w:rPr>
                <w:rFonts w:ascii="宋体" w:hAnsi="宋体" w:hint="eastAsia"/>
                <w:bCs/>
                <w:iCs/>
                <w:color w:val="000000"/>
                <w:sz w:val="24"/>
              </w:rPr>
              <w:t>东诚药业</w:t>
            </w:r>
            <w:r w:rsidR="0002585B">
              <w:rPr>
                <w:rFonts w:ascii="宋体" w:hAnsi="宋体" w:hint="eastAsia"/>
                <w:bCs/>
                <w:iCs/>
                <w:color w:val="000000"/>
                <w:sz w:val="24"/>
              </w:rPr>
              <w:t>集团</w:t>
            </w:r>
            <w:r>
              <w:rPr>
                <w:rFonts w:ascii="宋体" w:hAnsi="宋体" w:hint="eastAsia"/>
                <w:bCs/>
                <w:iCs/>
                <w:color w:val="000000"/>
                <w:sz w:val="24"/>
              </w:rPr>
              <w:t>副总经理兼董事会秘书：刘晓杰</w:t>
            </w:r>
          </w:p>
          <w:p w14:paraId="7A446DB5" w14:textId="60F22C7E" w:rsidR="00184AF0" w:rsidRDefault="00A51BE5">
            <w:pPr>
              <w:spacing w:line="360" w:lineRule="auto"/>
              <w:rPr>
                <w:rFonts w:ascii="宋体" w:hAnsi="宋体"/>
                <w:bCs/>
                <w:iCs/>
                <w:sz w:val="24"/>
                <w:szCs w:val="24"/>
              </w:rPr>
            </w:pPr>
            <w:r>
              <w:rPr>
                <w:rFonts w:ascii="宋体" w:hAnsi="宋体" w:hint="eastAsia"/>
                <w:bCs/>
                <w:iCs/>
                <w:color w:val="000000"/>
                <w:sz w:val="24"/>
              </w:rPr>
              <w:t>证券部：李季</w:t>
            </w:r>
          </w:p>
        </w:tc>
      </w:tr>
      <w:tr w:rsidR="00184AF0" w14:paraId="316875FC" w14:textId="77777777">
        <w:trPr>
          <w:trHeight w:val="1427"/>
        </w:trPr>
        <w:tc>
          <w:tcPr>
            <w:tcW w:w="1908" w:type="dxa"/>
            <w:shd w:val="clear" w:color="auto" w:fill="auto"/>
            <w:vAlign w:val="center"/>
          </w:tcPr>
          <w:p w14:paraId="41A60260" w14:textId="77777777" w:rsidR="00184AF0" w:rsidRDefault="00A51BE5">
            <w:pPr>
              <w:spacing w:line="360" w:lineRule="auto"/>
              <w:rPr>
                <w:rFonts w:ascii="宋体" w:hAnsi="宋体"/>
                <w:b/>
                <w:bCs/>
                <w:iCs/>
                <w:sz w:val="24"/>
                <w:szCs w:val="24"/>
              </w:rPr>
            </w:pPr>
            <w:r>
              <w:rPr>
                <w:rFonts w:ascii="宋体" w:hAnsi="宋体" w:hint="eastAsia"/>
                <w:b/>
                <w:bCs/>
                <w:iCs/>
                <w:sz w:val="24"/>
                <w:szCs w:val="24"/>
              </w:rPr>
              <w:t>投资者关系活动主要内容介绍</w:t>
            </w:r>
          </w:p>
        </w:tc>
        <w:tc>
          <w:tcPr>
            <w:tcW w:w="6614" w:type="dxa"/>
            <w:shd w:val="clear" w:color="auto" w:fill="auto"/>
          </w:tcPr>
          <w:p w14:paraId="18B5FA8A" w14:textId="77777777" w:rsidR="00184AF0" w:rsidRDefault="00184AF0">
            <w:pPr>
              <w:spacing w:line="360" w:lineRule="auto"/>
              <w:rPr>
                <w:rFonts w:ascii="宋体" w:hAnsi="宋体"/>
                <w:bCs/>
                <w:iCs/>
                <w:color w:val="000000"/>
                <w:sz w:val="24"/>
              </w:rPr>
            </w:pPr>
          </w:p>
          <w:p w14:paraId="1859358F" w14:textId="11811D2D" w:rsidR="00184AF0" w:rsidRDefault="00A51BE5">
            <w:pPr>
              <w:spacing w:line="360" w:lineRule="auto"/>
              <w:rPr>
                <w:rFonts w:ascii="宋体" w:hAnsi="宋体"/>
                <w:bCs/>
                <w:iCs/>
                <w:color w:val="000000"/>
                <w:sz w:val="24"/>
              </w:rPr>
            </w:pPr>
            <w:r>
              <w:rPr>
                <w:rFonts w:ascii="宋体" w:hAnsi="宋体" w:hint="eastAsia"/>
                <w:bCs/>
                <w:iCs/>
                <w:color w:val="000000"/>
                <w:sz w:val="24"/>
              </w:rPr>
              <w:t>了解</w:t>
            </w:r>
            <w:r w:rsidR="00446A0D">
              <w:rPr>
                <w:rFonts w:ascii="宋体" w:hAnsi="宋体" w:hint="eastAsia"/>
                <w:bCs/>
                <w:iCs/>
                <w:color w:val="000000"/>
                <w:sz w:val="24"/>
              </w:rPr>
              <w:t>公司</w:t>
            </w:r>
            <w:r>
              <w:rPr>
                <w:rFonts w:ascii="宋体" w:hAnsi="宋体" w:hint="eastAsia"/>
                <w:bCs/>
                <w:iCs/>
                <w:color w:val="000000"/>
                <w:sz w:val="24"/>
              </w:rPr>
              <w:t>经营</w:t>
            </w:r>
            <w:r w:rsidR="00446A0D">
              <w:rPr>
                <w:rFonts w:ascii="宋体" w:hAnsi="宋体" w:hint="eastAsia"/>
                <w:bCs/>
                <w:iCs/>
                <w:color w:val="000000"/>
                <w:sz w:val="24"/>
              </w:rPr>
              <w:t>及发展</w:t>
            </w:r>
            <w:r>
              <w:rPr>
                <w:rFonts w:ascii="宋体" w:hAnsi="宋体" w:hint="eastAsia"/>
                <w:bCs/>
                <w:iCs/>
                <w:color w:val="000000"/>
                <w:sz w:val="24"/>
              </w:rPr>
              <w:t>情况</w:t>
            </w:r>
          </w:p>
        </w:tc>
      </w:tr>
      <w:tr w:rsidR="00184AF0" w14:paraId="72C114A6" w14:textId="77777777">
        <w:tc>
          <w:tcPr>
            <w:tcW w:w="1908" w:type="dxa"/>
            <w:shd w:val="clear" w:color="auto" w:fill="auto"/>
            <w:vAlign w:val="center"/>
          </w:tcPr>
          <w:p w14:paraId="0F82FF85" w14:textId="77777777" w:rsidR="00184AF0" w:rsidRDefault="00A51BE5">
            <w:pPr>
              <w:spacing w:line="360" w:lineRule="auto"/>
              <w:rPr>
                <w:rFonts w:ascii="宋体" w:hAnsi="宋体"/>
                <w:b/>
                <w:bCs/>
                <w:iCs/>
                <w:sz w:val="24"/>
                <w:szCs w:val="24"/>
              </w:rPr>
            </w:pPr>
            <w:r>
              <w:rPr>
                <w:rFonts w:ascii="宋体" w:hAnsi="宋体" w:hint="eastAsia"/>
                <w:b/>
                <w:bCs/>
                <w:iCs/>
                <w:sz w:val="24"/>
                <w:szCs w:val="24"/>
              </w:rPr>
              <w:t>附件清单</w:t>
            </w:r>
          </w:p>
        </w:tc>
        <w:tc>
          <w:tcPr>
            <w:tcW w:w="6614" w:type="dxa"/>
            <w:shd w:val="clear" w:color="auto" w:fill="auto"/>
          </w:tcPr>
          <w:p w14:paraId="2F9142EC" w14:textId="77777777" w:rsidR="00184AF0" w:rsidRDefault="00A51BE5">
            <w:pPr>
              <w:spacing w:line="360" w:lineRule="auto"/>
              <w:rPr>
                <w:rFonts w:ascii="宋体" w:hAnsi="宋体"/>
                <w:bCs/>
                <w:iCs/>
                <w:sz w:val="24"/>
                <w:szCs w:val="24"/>
              </w:rPr>
            </w:pPr>
            <w:r>
              <w:rPr>
                <w:rFonts w:ascii="宋体" w:hAnsi="宋体" w:hint="eastAsia"/>
                <w:bCs/>
                <w:iCs/>
                <w:color w:val="000000"/>
                <w:sz w:val="24"/>
              </w:rPr>
              <w:t>会议纪要</w:t>
            </w:r>
          </w:p>
        </w:tc>
      </w:tr>
      <w:tr w:rsidR="00184AF0" w14:paraId="49C61D47" w14:textId="77777777">
        <w:trPr>
          <w:trHeight w:val="582"/>
        </w:trPr>
        <w:tc>
          <w:tcPr>
            <w:tcW w:w="1908" w:type="dxa"/>
            <w:shd w:val="clear" w:color="auto" w:fill="auto"/>
            <w:vAlign w:val="center"/>
          </w:tcPr>
          <w:p w14:paraId="744217FE" w14:textId="77777777" w:rsidR="00184AF0" w:rsidRDefault="00A51BE5">
            <w:pPr>
              <w:spacing w:line="360" w:lineRule="auto"/>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14:paraId="269F567F" w14:textId="6BDF27BC" w:rsidR="00184AF0" w:rsidRDefault="00A51BE5">
            <w:pPr>
              <w:spacing w:line="360" w:lineRule="auto"/>
              <w:rPr>
                <w:rFonts w:ascii="宋体" w:hAnsi="宋体"/>
                <w:bCs/>
                <w:iCs/>
                <w:sz w:val="24"/>
                <w:szCs w:val="24"/>
              </w:rPr>
            </w:pPr>
            <w:r>
              <w:rPr>
                <w:rFonts w:ascii="宋体" w:hAnsi="宋体" w:hint="eastAsia"/>
                <w:bCs/>
                <w:iCs/>
                <w:sz w:val="24"/>
                <w:szCs w:val="24"/>
              </w:rPr>
              <w:t>20</w:t>
            </w:r>
            <w:r>
              <w:rPr>
                <w:rFonts w:ascii="宋体" w:hAnsi="宋体"/>
                <w:bCs/>
                <w:iCs/>
                <w:sz w:val="24"/>
                <w:szCs w:val="24"/>
              </w:rPr>
              <w:t>20</w:t>
            </w:r>
            <w:r>
              <w:rPr>
                <w:rFonts w:ascii="宋体" w:hAnsi="宋体" w:hint="eastAsia"/>
                <w:bCs/>
                <w:iCs/>
                <w:sz w:val="24"/>
                <w:szCs w:val="24"/>
              </w:rPr>
              <w:t>年</w:t>
            </w:r>
            <w:r w:rsidR="00CD03DF">
              <w:rPr>
                <w:rFonts w:ascii="宋体" w:hAnsi="宋体" w:hint="eastAsia"/>
                <w:bCs/>
                <w:iCs/>
                <w:sz w:val="24"/>
                <w:szCs w:val="24"/>
              </w:rPr>
              <w:t>6</w:t>
            </w:r>
            <w:r>
              <w:rPr>
                <w:rFonts w:ascii="宋体" w:hAnsi="宋体" w:hint="eastAsia"/>
                <w:bCs/>
                <w:iCs/>
                <w:sz w:val="24"/>
                <w:szCs w:val="24"/>
              </w:rPr>
              <w:t>月</w:t>
            </w:r>
            <w:r w:rsidR="0077525E">
              <w:rPr>
                <w:rFonts w:ascii="宋体" w:hAnsi="宋体" w:hint="eastAsia"/>
                <w:bCs/>
                <w:iCs/>
                <w:sz w:val="24"/>
                <w:szCs w:val="24"/>
              </w:rPr>
              <w:t>1</w:t>
            </w:r>
            <w:r w:rsidR="00265E9A">
              <w:rPr>
                <w:rFonts w:ascii="宋体" w:hAnsi="宋体"/>
                <w:bCs/>
                <w:iCs/>
                <w:sz w:val="24"/>
                <w:szCs w:val="24"/>
              </w:rPr>
              <w:t>7</w:t>
            </w:r>
            <w:r>
              <w:rPr>
                <w:rFonts w:ascii="宋体" w:hAnsi="宋体" w:hint="eastAsia"/>
                <w:bCs/>
                <w:iCs/>
                <w:sz w:val="24"/>
                <w:szCs w:val="24"/>
              </w:rPr>
              <w:t>日</w:t>
            </w:r>
          </w:p>
        </w:tc>
      </w:tr>
    </w:tbl>
    <w:p w14:paraId="505E1026" w14:textId="77777777" w:rsidR="00184AF0" w:rsidRDefault="00184AF0">
      <w:pPr>
        <w:spacing w:line="360" w:lineRule="auto"/>
        <w:jc w:val="center"/>
        <w:rPr>
          <w:b/>
          <w:sz w:val="28"/>
          <w:szCs w:val="28"/>
        </w:rPr>
      </w:pPr>
    </w:p>
    <w:p w14:paraId="05C0A7D4" w14:textId="77777777" w:rsidR="00184AF0" w:rsidRDefault="00A51BE5">
      <w:pPr>
        <w:spacing w:line="360" w:lineRule="auto"/>
        <w:jc w:val="center"/>
        <w:rPr>
          <w:b/>
          <w:sz w:val="28"/>
          <w:szCs w:val="28"/>
        </w:rPr>
      </w:pPr>
      <w:r>
        <w:rPr>
          <w:rFonts w:hint="eastAsia"/>
          <w:b/>
          <w:sz w:val="28"/>
          <w:szCs w:val="28"/>
        </w:rPr>
        <w:t>烟台东诚药业集团股份有限公司机构调研会议纪要</w:t>
      </w:r>
    </w:p>
    <w:p w14:paraId="4AF31568" w14:textId="77777777" w:rsidR="00184AF0" w:rsidRDefault="00184AF0">
      <w:pPr>
        <w:spacing w:line="360" w:lineRule="auto"/>
      </w:pPr>
    </w:p>
    <w:p w14:paraId="6A8902C2" w14:textId="1D89FEAF" w:rsidR="00184AF0" w:rsidRDefault="00A51BE5">
      <w:pPr>
        <w:spacing w:line="360" w:lineRule="auto"/>
        <w:rPr>
          <w:rFonts w:asciiTheme="minorEastAsia" w:hAnsiTheme="minorEastAsia"/>
          <w:sz w:val="24"/>
        </w:rPr>
      </w:pPr>
      <w:r>
        <w:rPr>
          <w:rFonts w:asciiTheme="minorEastAsia" w:hAnsiTheme="minorEastAsia" w:hint="eastAsia"/>
          <w:b/>
          <w:sz w:val="24"/>
        </w:rPr>
        <w:t>时间：</w:t>
      </w:r>
      <w:r>
        <w:rPr>
          <w:rFonts w:ascii="宋体" w:hAnsi="宋体" w:hint="eastAsia"/>
          <w:bCs/>
          <w:iCs/>
          <w:sz w:val="24"/>
          <w:szCs w:val="24"/>
        </w:rPr>
        <w:t>20</w:t>
      </w:r>
      <w:r>
        <w:rPr>
          <w:rFonts w:ascii="宋体" w:hAnsi="宋体"/>
          <w:bCs/>
          <w:iCs/>
          <w:sz w:val="24"/>
          <w:szCs w:val="24"/>
        </w:rPr>
        <w:t>20</w:t>
      </w:r>
      <w:r>
        <w:rPr>
          <w:rFonts w:ascii="宋体" w:hAnsi="宋体" w:hint="eastAsia"/>
          <w:bCs/>
          <w:iCs/>
          <w:sz w:val="24"/>
          <w:szCs w:val="24"/>
        </w:rPr>
        <w:t>年</w:t>
      </w:r>
      <w:r w:rsidR="00CD03DF">
        <w:rPr>
          <w:rFonts w:ascii="宋体" w:hAnsi="宋体"/>
          <w:bCs/>
          <w:iCs/>
          <w:sz w:val="24"/>
          <w:szCs w:val="24"/>
        </w:rPr>
        <w:t>6</w:t>
      </w:r>
      <w:r>
        <w:rPr>
          <w:rFonts w:ascii="宋体" w:hAnsi="宋体" w:hint="eastAsia"/>
          <w:bCs/>
          <w:iCs/>
          <w:sz w:val="24"/>
          <w:szCs w:val="24"/>
        </w:rPr>
        <w:t>月</w:t>
      </w:r>
      <w:r w:rsidR="0077525E">
        <w:rPr>
          <w:rFonts w:ascii="宋体" w:hAnsi="宋体"/>
          <w:bCs/>
          <w:iCs/>
          <w:sz w:val="24"/>
          <w:szCs w:val="24"/>
        </w:rPr>
        <w:t>1</w:t>
      </w:r>
      <w:r w:rsidR="00265E9A">
        <w:rPr>
          <w:rFonts w:ascii="宋体" w:hAnsi="宋体"/>
          <w:bCs/>
          <w:iCs/>
          <w:sz w:val="24"/>
          <w:szCs w:val="24"/>
        </w:rPr>
        <w:t>7</w:t>
      </w:r>
      <w:r>
        <w:rPr>
          <w:rFonts w:ascii="宋体" w:hAnsi="宋体" w:hint="eastAsia"/>
          <w:bCs/>
          <w:iCs/>
          <w:sz w:val="24"/>
          <w:szCs w:val="24"/>
        </w:rPr>
        <w:t>日</w:t>
      </w:r>
    </w:p>
    <w:p w14:paraId="253BAD5C" w14:textId="77777777" w:rsidR="00184AF0" w:rsidRDefault="00A51BE5">
      <w:pPr>
        <w:spacing w:line="360" w:lineRule="auto"/>
        <w:rPr>
          <w:rFonts w:ascii="宋体" w:hAnsi="宋体"/>
          <w:bCs/>
          <w:iCs/>
          <w:color w:val="000000"/>
          <w:sz w:val="24"/>
        </w:rPr>
      </w:pPr>
      <w:r>
        <w:rPr>
          <w:rFonts w:asciiTheme="minorEastAsia" w:hAnsiTheme="minorEastAsia" w:hint="eastAsia"/>
          <w:b/>
          <w:sz w:val="24"/>
        </w:rPr>
        <w:t>地点：</w:t>
      </w:r>
      <w:r>
        <w:rPr>
          <w:rFonts w:ascii="宋体" w:hAnsi="宋体" w:hint="eastAsia"/>
          <w:bCs/>
          <w:iCs/>
          <w:color w:val="000000"/>
          <w:sz w:val="24"/>
        </w:rPr>
        <w:t>烟台经济技术开发区长白山路7号公司会议室</w:t>
      </w:r>
    </w:p>
    <w:p w14:paraId="7D7676F0" w14:textId="261C81B7" w:rsidR="00184AF0" w:rsidRDefault="00A51BE5">
      <w:pPr>
        <w:spacing w:line="360" w:lineRule="auto"/>
        <w:rPr>
          <w:rFonts w:asciiTheme="minorEastAsia" w:hAnsiTheme="minorEastAsia"/>
          <w:sz w:val="24"/>
        </w:rPr>
      </w:pPr>
      <w:r>
        <w:rPr>
          <w:rFonts w:asciiTheme="minorEastAsia" w:hAnsiTheme="minorEastAsia" w:hint="eastAsia"/>
          <w:b/>
          <w:sz w:val="24"/>
        </w:rPr>
        <w:t>召开方式：</w:t>
      </w:r>
      <w:r w:rsidR="00265E9A">
        <w:rPr>
          <w:rFonts w:asciiTheme="minorEastAsia" w:hAnsiTheme="minorEastAsia" w:hint="eastAsia"/>
          <w:sz w:val="24"/>
        </w:rPr>
        <w:t>电话会议</w:t>
      </w:r>
      <w:r w:rsidR="00265E9A">
        <w:rPr>
          <w:rFonts w:asciiTheme="minorEastAsia" w:hAnsiTheme="minorEastAsia"/>
          <w:sz w:val="24"/>
        </w:rPr>
        <w:t xml:space="preserve"> </w:t>
      </w:r>
    </w:p>
    <w:p w14:paraId="06058974" w14:textId="5F4094E7" w:rsidR="00610409" w:rsidRDefault="00A51BE5" w:rsidP="00273D2E">
      <w:pPr>
        <w:spacing w:line="360" w:lineRule="auto"/>
        <w:rPr>
          <w:rFonts w:ascii="宋体" w:hAnsi="宋体"/>
          <w:bCs/>
          <w:iCs/>
          <w:color w:val="000000"/>
          <w:sz w:val="24"/>
        </w:rPr>
      </w:pPr>
      <w:r>
        <w:rPr>
          <w:rFonts w:asciiTheme="minorEastAsia" w:hAnsiTheme="minorEastAsia" w:hint="eastAsia"/>
          <w:b/>
          <w:sz w:val="24"/>
        </w:rPr>
        <w:lastRenderedPageBreak/>
        <w:t>调研人员</w:t>
      </w:r>
      <w:r w:rsidR="00D0672B">
        <w:rPr>
          <w:rFonts w:asciiTheme="minorEastAsia" w:hAnsiTheme="minorEastAsia" w:hint="eastAsia"/>
          <w:b/>
          <w:sz w:val="24"/>
        </w:rPr>
        <w:t>：</w:t>
      </w:r>
      <w:r w:rsidR="00F54E06" w:rsidRPr="00F54E06">
        <w:rPr>
          <w:rFonts w:ascii="宋体" w:hAnsi="宋体" w:hint="eastAsia"/>
          <w:bCs/>
          <w:iCs/>
          <w:color w:val="000000"/>
          <w:sz w:val="24"/>
        </w:rPr>
        <w:t>调研机构</w:t>
      </w:r>
      <w:r w:rsidR="00273D2E" w:rsidRPr="00273D2E">
        <w:rPr>
          <w:rFonts w:ascii="宋体" w:hAnsi="宋体" w:hint="eastAsia"/>
          <w:bCs/>
          <w:iCs/>
          <w:color w:val="000000"/>
          <w:sz w:val="24"/>
        </w:rPr>
        <w:t>人员名单详</w:t>
      </w:r>
      <w:r w:rsidR="00273D2E">
        <w:rPr>
          <w:rFonts w:ascii="宋体" w:hAnsi="宋体" w:hint="eastAsia"/>
          <w:bCs/>
          <w:iCs/>
          <w:color w:val="000000"/>
          <w:sz w:val="24"/>
        </w:rPr>
        <w:t>见上表</w:t>
      </w:r>
      <w:r w:rsidR="00273D2E">
        <w:rPr>
          <w:rFonts w:ascii="宋体" w:hAnsi="宋体"/>
          <w:bCs/>
          <w:iCs/>
          <w:color w:val="000000"/>
          <w:sz w:val="24"/>
        </w:rPr>
        <w:t xml:space="preserve"> </w:t>
      </w:r>
    </w:p>
    <w:p w14:paraId="57AFA4EB" w14:textId="0E1ECBDC" w:rsidR="00184AF0" w:rsidRPr="0077525E" w:rsidRDefault="00A51BE5" w:rsidP="0077525E">
      <w:pPr>
        <w:spacing w:line="360" w:lineRule="auto"/>
        <w:rPr>
          <w:rFonts w:asciiTheme="minorEastAsia" w:hAnsiTheme="minorEastAsia"/>
          <w:bCs/>
          <w:sz w:val="24"/>
        </w:rPr>
      </w:pPr>
      <w:r>
        <w:rPr>
          <w:rFonts w:asciiTheme="minorEastAsia" w:hAnsiTheme="minorEastAsia" w:hint="eastAsia"/>
          <w:b/>
          <w:sz w:val="24"/>
        </w:rPr>
        <w:t>公司参与人员：</w:t>
      </w:r>
      <w:r>
        <w:rPr>
          <w:rFonts w:ascii="宋体" w:hAnsi="宋体" w:hint="eastAsia"/>
          <w:bCs/>
          <w:iCs/>
          <w:color w:val="000000"/>
          <w:sz w:val="24"/>
        </w:rPr>
        <w:t>东诚药业</w:t>
      </w:r>
      <w:r w:rsidR="0002585B">
        <w:rPr>
          <w:rFonts w:ascii="宋体" w:hAnsi="宋体" w:hint="eastAsia"/>
          <w:bCs/>
          <w:iCs/>
          <w:color w:val="000000"/>
          <w:sz w:val="24"/>
        </w:rPr>
        <w:t>集团</w:t>
      </w:r>
      <w:r>
        <w:rPr>
          <w:rFonts w:ascii="宋体" w:hAnsi="宋体" w:hint="eastAsia"/>
          <w:bCs/>
          <w:iCs/>
          <w:color w:val="000000"/>
          <w:sz w:val="24"/>
        </w:rPr>
        <w:t>副总经理兼董事会秘书：刘晓杰</w:t>
      </w:r>
    </w:p>
    <w:p w14:paraId="0856B373" w14:textId="2EA903B3" w:rsidR="00184AF0" w:rsidRDefault="00A51BE5">
      <w:pPr>
        <w:spacing w:line="360" w:lineRule="auto"/>
        <w:ind w:firstLineChars="700" w:firstLine="1680"/>
        <w:rPr>
          <w:rFonts w:ascii="宋体" w:hAnsi="宋体"/>
          <w:bCs/>
          <w:iCs/>
          <w:color w:val="000000"/>
          <w:sz w:val="24"/>
        </w:rPr>
      </w:pPr>
      <w:r>
        <w:rPr>
          <w:rFonts w:ascii="宋体" w:hAnsi="宋体" w:hint="eastAsia"/>
          <w:bCs/>
          <w:iCs/>
          <w:color w:val="000000"/>
          <w:sz w:val="24"/>
        </w:rPr>
        <w:t>证券部：李季</w:t>
      </w:r>
    </w:p>
    <w:p w14:paraId="012F01B9" w14:textId="77777777" w:rsidR="00184AF0" w:rsidRDefault="00A51BE5">
      <w:pPr>
        <w:spacing w:line="360" w:lineRule="auto"/>
        <w:rPr>
          <w:rFonts w:asciiTheme="minorEastAsia" w:hAnsiTheme="minorEastAsia"/>
          <w:sz w:val="24"/>
        </w:rPr>
      </w:pPr>
      <w:r>
        <w:rPr>
          <w:rFonts w:asciiTheme="minorEastAsia" w:hAnsiTheme="minorEastAsia" w:hint="eastAsia"/>
          <w:b/>
          <w:sz w:val="24"/>
        </w:rPr>
        <w:t>记录人：</w:t>
      </w:r>
      <w:r>
        <w:rPr>
          <w:rFonts w:asciiTheme="minorEastAsia" w:hAnsiTheme="minorEastAsia" w:hint="eastAsia"/>
          <w:sz w:val="24"/>
        </w:rPr>
        <w:t>李季</w:t>
      </w:r>
    </w:p>
    <w:p w14:paraId="0361B981" w14:textId="77777777" w:rsidR="00184AF0" w:rsidRDefault="00A51BE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主要交流内容： </w:t>
      </w:r>
    </w:p>
    <w:p w14:paraId="08A9CD65" w14:textId="3E2450CA" w:rsidR="00184AF0" w:rsidRDefault="00A51BE5" w:rsidP="00446A0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会议采取问答的形式，对投资者关注的问题予以解答</w:t>
      </w:r>
    </w:p>
    <w:p w14:paraId="0FF41EE4" w14:textId="63E43764" w:rsidR="00BC1D2F" w:rsidRPr="00E954E9" w:rsidRDefault="00BC1D2F" w:rsidP="00BC1D2F">
      <w:pPr>
        <w:spacing w:line="360" w:lineRule="auto"/>
        <w:ind w:firstLineChars="200" w:firstLine="482"/>
        <w:rPr>
          <w:rFonts w:asciiTheme="minorEastAsia" w:eastAsiaTheme="minorEastAsia" w:hAnsiTheme="minorEastAsia"/>
          <w:b/>
          <w:bCs/>
        </w:rPr>
      </w:pPr>
      <w:r w:rsidRPr="00141727">
        <w:rPr>
          <w:rFonts w:asciiTheme="minorEastAsia" w:eastAsiaTheme="minorEastAsia" w:hAnsiTheme="minorEastAsia" w:hint="eastAsia"/>
          <w:b/>
          <w:bCs/>
          <w:sz w:val="24"/>
          <w:szCs w:val="24"/>
        </w:rPr>
        <w:t>问题</w:t>
      </w:r>
      <w:r w:rsidR="00E06D07">
        <w:rPr>
          <w:rFonts w:asciiTheme="minorEastAsia" w:eastAsiaTheme="minorEastAsia" w:hAnsiTheme="minorEastAsia" w:hint="eastAsia"/>
          <w:b/>
          <w:bCs/>
          <w:sz w:val="24"/>
          <w:szCs w:val="24"/>
        </w:rPr>
        <w:t>一</w:t>
      </w:r>
      <w:r w:rsidRPr="00141727">
        <w:rPr>
          <w:rFonts w:asciiTheme="minorEastAsia" w:eastAsiaTheme="minorEastAsia" w:hAnsiTheme="minorEastAsia" w:hint="eastAsia"/>
          <w:b/>
          <w:bCs/>
          <w:sz w:val="24"/>
          <w:szCs w:val="24"/>
        </w:rPr>
        <w:t>：</w:t>
      </w:r>
      <w:r w:rsidR="00E97613">
        <w:rPr>
          <w:rFonts w:asciiTheme="minorEastAsia" w:eastAsiaTheme="minorEastAsia" w:hAnsiTheme="minorEastAsia" w:hint="eastAsia"/>
          <w:b/>
          <w:bCs/>
          <w:sz w:val="24"/>
          <w:szCs w:val="24"/>
        </w:rPr>
        <w:t>对硫酸软骨素价格预测</w:t>
      </w:r>
      <w:r>
        <w:rPr>
          <w:rFonts w:asciiTheme="minorEastAsia" w:eastAsiaTheme="minorEastAsia" w:hAnsiTheme="minorEastAsia" w:hint="eastAsia"/>
          <w:b/>
          <w:bCs/>
          <w:sz w:val="24"/>
          <w:szCs w:val="24"/>
        </w:rPr>
        <w:t>？</w:t>
      </w:r>
      <w:r w:rsidR="00E97613">
        <w:rPr>
          <w:rFonts w:asciiTheme="minorEastAsia" w:eastAsiaTheme="minorEastAsia" w:hAnsiTheme="minorEastAsia" w:hint="eastAsia"/>
          <w:b/>
          <w:bCs/>
          <w:sz w:val="24"/>
          <w:szCs w:val="24"/>
        </w:rPr>
        <w:t>中泰</w:t>
      </w:r>
      <w:r w:rsidR="00E729CF">
        <w:rPr>
          <w:rFonts w:asciiTheme="minorEastAsia" w:eastAsiaTheme="minorEastAsia" w:hAnsiTheme="minorEastAsia" w:hint="eastAsia"/>
          <w:b/>
          <w:bCs/>
          <w:sz w:val="24"/>
          <w:szCs w:val="24"/>
        </w:rPr>
        <w:t>生物</w:t>
      </w:r>
      <w:r w:rsidR="00E97613">
        <w:rPr>
          <w:rFonts w:asciiTheme="minorEastAsia" w:eastAsiaTheme="minorEastAsia" w:hAnsiTheme="minorEastAsia" w:hint="eastAsia"/>
          <w:b/>
          <w:bCs/>
          <w:sz w:val="24"/>
          <w:szCs w:val="24"/>
        </w:rPr>
        <w:t>在公司发展中的作用</w:t>
      </w:r>
      <w:r w:rsidR="0091777A">
        <w:rPr>
          <w:rFonts w:asciiTheme="minorEastAsia" w:eastAsiaTheme="minorEastAsia" w:hAnsiTheme="minorEastAsia" w:hint="eastAsia"/>
          <w:b/>
          <w:bCs/>
          <w:sz w:val="24"/>
          <w:szCs w:val="24"/>
        </w:rPr>
        <w:t>？</w:t>
      </w:r>
    </w:p>
    <w:p w14:paraId="632EE651" w14:textId="34AE4BEA" w:rsidR="00E729CF" w:rsidRDefault="00BC1D2F" w:rsidP="00BC1D2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00E729CF">
        <w:rPr>
          <w:rFonts w:asciiTheme="minorEastAsia" w:eastAsiaTheme="minorEastAsia" w:hAnsiTheme="minorEastAsia" w:hint="eastAsia"/>
          <w:sz w:val="24"/>
          <w:szCs w:val="24"/>
        </w:rPr>
        <w:t>从过往数据看，软骨素行业具有周期性，近两年刚好处在价格底部，随着软骨素行业不断的去产能、去库存的进行，部分小企业已不再生产软骨素，并且原有的库存软骨素转做用于食品方面，软骨素存量正在逐步减少</w:t>
      </w:r>
      <w:r w:rsidR="00C01C6D">
        <w:rPr>
          <w:rFonts w:asciiTheme="minorEastAsia" w:eastAsiaTheme="minorEastAsia" w:hAnsiTheme="minorEastAsia" w:hint="eastAsia"/>
          <w:sz w:val="24"/>
          <w:szCs w:val="24"/>
        </w:rPr>
        <w:t>。</w:t>
      </w:r>
    </w:p>
    <w:p w14:paraId="2351C308" w14:textId="430A0DDC" w:rsidR="00BC1D2F" w:rsidRPr="00E954E9" w:rsidRDefault="00E729CF" w:rsidP="00E729CF">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中泰生物位于泰国，产品原料药丰富，基于产业链的延伸和成本控制等因素，公司于2</w:t>
      </w:r>
      <w:r>
        <w:rPr>
          <w:rFonts w:asciiTheme="minorEastAsia" w:eastAsiaTheme="minorEastAsia" w:hAnsiTheme="minorEastAsia"/>
          <w:sz w:val="24"/>
          <w:szCs w:val="24"/>
        </w:rPr>
        <w:t>016</w:t>
      </w:r>
      <w:r>
        <w:rPr>
          <w:rFonts w:asciiTheme="minorEastAsia" w:eastAsiaTheme="minorEastAsia" w:hAnsiTheme="minorEastAsia" w:hint="eastAsia"/>
          <w:sz w:val="24"/>
          <w:szCs w:val="24"/>
        </w:rPr>
        <w:t>年收购中泰生物，目前中泰生物处于满负荷运转状态，产品供不应求。未来公司将以中泰生物为依托，打造</w:t>
      </w:r>
      <w:r w:rsidR="008A5EC6">
        <w:rPr>
          <w:rFonts w:asciiTheme="minorEastAsia" w:eastAsiaTheme="minorEastAsia" w:hAnsiTheme="minorEastAsia" w:hint="eastAsia"/>
          <w:sz w:val="24"/>
          <w:szCs w:val="24"/>
        </w:rPr>
        <w:t>药品级和膳食补充剂级</w:t>
      </w:r>
      <w:r>
        <w:rPr>
          <w:rFonts w:asciiTheme="minorEastAsia" w:eastAsiaTheme="minorEastAsia" w:hAnsiTheme="minorEastAsia" w:hint="eastAsia"/>
          <w:sz w:val="24"/>
          <w:szCs w:val="24"/>
        </w:rPr>
        <w:t>硫酸软骨素</w:t>
      </w:r>
      <w:r w:rsidR="008A5EC6">
        <w:rPr>
          <w:rFonts w:asciiTheme="minorEastAsia" w:eastAsiaTheme="minorEastAsia" w:hAnsiTheme="minorEastAsia" w:hint="eastAsia"/>
          <w:sz w:val="24"/>
          <w:szCs w:val="24"/>
        </w:rPr>
        <w:t>专业化</w:t>
      </w:r>
      <w:r>
        <w:rPr>
          <w:rFonts w:asciiTheme="minorEastAsia" w:eastAsiaTheme="minorEastAsia" w:hAnsiTheme="minorEastAsia" w:hint="eastAsia"/>
          <w:sz w:val="24"/>
          <w:szCs w:val="24"/>
        </w:rPr>
        <w:t>生产基地</w:t>
      </w:r>
      <w:r w:rsidR="008A5EC6">
        <w:rPr>
          <w:rFonts w:asciiTheme="minorEastAsia" w:eastAsiaTheme="minorEastAsia" w:hAnsiTheme="minorEastAsia" w:hint="eastAsia"/>
          <w:sz w:val="24"/>
          <w:szCs w:val="24"/>
        </w:rPr>
        <w:t>。</w:t>
      </w:r>
    </w:p>
    <w:p w14:paraId="151B5564" w14:textId="4A5D5EF6" w:rsidR="00184AF0" w:rsidRDefault="00A51BE5" w:rsidP="00763DFB">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w:t>
      </w:r>
      <w:r w:rsidR="00E06D07">
        <w:rPr>
          <w:rFonts w:asciiTheme="minorEastAsia" w:eastAsiaTheme="minorEastAsia" w:hAnsiTheme="minorEastAsia" w:hint="eastAsia"/>
          <w:b/>
          <w:sz w:val="24"/>
          <w:szCs w:val="24"/>
        </w:rPr>
        <w:t>二</w:t>
      </w:r>
      <w:r>
        <w:rPr>
          <w:rFonts w:asciiTheme="minorEastAsia" w:eastAsiaTheme="minorEastAsia" w:hAnsiTheme="minorEastAsia" w:hint="eastAsia"/>
          <w:b/>
          <w:sz w:val="24"/>
          <w:szCs w:val="24"/>
        </w:rPr>
        <w:t>：</w:t>
      </w:r>
      <w:r w:rsidR="00F46062">
        <w:rPr>
          <w:rFonts w:asciiTheme="minorEastAsia" w:eastAsiaTheme="minorEastAsia" w:hAnsiTheme="minorEastAsia" w:hint="eastAsia"/>
          <w:b/>
          <w:sz w:val="24"/>
          <w:szCs w:val="24"/>
        </w:rPr>
        <w:t>近期，F</w:t>
      </w:r>
      <w:r w:rsidR="00F46062">
        <w:rPr>
          <w:rFonts w:asciiTheme="minorEastAsia" w:eastAsiaTheme="minorEastAsia" w:hAnsiTheme="minorEastAsia"/>
          <w:b/>
          <w:sz w:val="24"/>
          <w:szCs w:val="24"/>
        </w:rPr>
        <w:t>DA</w:t>
      </w:r>
      <w:r w:rsidR="00F46062">
        <w:rPr>
          <w:rFonts w:asciiTheme="minorEastAsia" w:eastAsiaTheme="minorEastAsia" w:hAnsiTheme="minorEastAsia" w:hint="eastAsia"/>
          <w:b/>
          <w:sz w:val="24"/>
          <w:szCs w:val="24"/>
        </w:rPr>
        <w:t>批准礼来新药</w:t>
      </w:r>
      <w:r w:rsidR="00F46062" w:rsidRPr="00F46062">
        <w:rPr>
          <w:rFonts w:asciiTheme="minorEastAsia" w:eastAsiaTheme="minorEastAsia" w:hAnsiTheme="minorEastAsia"/>
          <w:b/>
          <w:sz w:val="24"/>
          <w:szCs w:val="24"/>
        </w:rPr>
        <w:t>Tauvid</w:t>
      </w:r>
      <w:r w:rsidR="00F46062">
        <w:rPr>
          <w:rFonts w:asciiTheme="minorEastAsia" w:eastAsiaTheme="minorEastAsia" w:hAnsiTheme="minorEastAsia" w:hint="eastAsia"/>
          <w:b/>
          <w:sz w:val="24"/>
          <w:szCs w:val="24"/>
        </w:rPr>
        <w:t>，西门子医疗乳腺癌诊断新药，公司是否有同类产品</w:t>
      </w:r>
      <w:r>
        <w:rPr>
          <w:rFonts w:asciiTheme="minorEastAsia" w:eastAsiaTheme="minorEastAsia" w:hAnsiTheme="minorEastAsia" w:hint="eastAsia"/>
          <w:b/>
          <w:sz w:val="24"/>
          <w:szCs w:val="24"/>
        </w:rPr>
        <w:t>？</w:t>
      </w:r>
      <w:r w:rsidR="000A2106">
        <w:rPr>
          <w:rFonts w:asciiTheme="minorEastAsia" w:eastAsiaTheme="minorEastAsia" w:hAnsiTheme="minorEastAsia" w:hint="eastAsia"/>
          <w:b/>
          <w:sz w:val="24"/>
          <w:szCs w:val="24"/>
        </w:rPr>
        <w:t>对此</w:t>
      </w:r>
      <w:r w:rsidR="001B5DB3">
        <w:rPr>
          <w:rFonts w:asciiTheme="minorEastAsia" w:eastAsiaTheme="minorEastAsia" w:hAnsiTheme="minorEastAsia" w:hint="eastAsia"/>
          <w:b/>
          <w:sz w:val="24"/>
          <w:szCs w:val="24"/>
        </w:rPr>
        <w:t>怎么看？</w:t>
      </w:r>
    </w:p>
    <w:p w14:paraId="518403B4" w14:textId="0A0D021A" w:rsidR="00F46062" w:rsidRDefault="00A51BE5" w:rsidP="00F4606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00F46062" w:rsidRPr="00F46062">
        <w:rPr>
          <w:rFonts w:asciiTheme="minorEastAsia" w:eastAsiaTheme="minorEastAsia" w:hAnsiTheme="minorEastAsia"/>
          <w:sz w:val="24"/>
          <w:szCs w:val="24"/>
        </w:rPr>
        <w:t>5</w:t>
      </w:r>
      <w:r w:rsidR="00F46062" w:rsidRPr="00F46062">
        <w:rPr>
          <w:rFonts w:asciiTheme="minorEastAsia" w:eastAsiaTheme="minorEastAsia" w:hAnsiTheme="minorEastAsia" w:hint="eastAsia"/>
          <w:sz w:val="24"/>
          <w:szCs w:val="24"/>
        </w:rPr>
        <w:t>月</w:t>
      </w:r>
      <w:r w:rsidR="00F46062" w:rsidRPr="00F46062">
        <w:rPr>
          <w:rFonts w:asciiTheme="minorEastAsia" w:eastAsiaTheme="minorEastAsia" w:hAnsiTheme="minorEastAsia"/>
          <w:sz w:val="24"/>
          <w:szCs w:val="24"/>
        </w:rPr>
        <w:t>29</w:t>
      </w:r>
      <w:r w:rsidR="00F46062" w:rsidRPr="00F46062">
        <w:rPr>
          <w:rFonts w:asciiTheme="minorEastAsia" w:eastAsiaTheme="minorEastAsia" w:hAnsiTheme="minorEastAsia" w:hint="eastAsia"/>
          <w:sz w:val="24"/>
          <w:szCs w:val="24"/>
        </w:rPr>
        <w:t>日</w:t>
      </w:r>
      <w:r w:rsidR="00F46062">
        <w:rPr>
          <w:rFonts w:asciiTheme="minorEastAsia" w:eastAsiaTheme="minorEastAsia" w:hAnsiTheme="minorEastAsia" w:hint="eastAsia"/>
          <w:sz w:val="24"/>
          <w:szCs w:val="24"/>
        </w:rPr>
        <w:t>，</w:t>
      </w:r>
      <w:r w:rsidR="00F46062" w:rsidRPr="00F46062">
        <w:rPr>
          <w:rFonts w:asciiTheme="minorEastAsia" w:eastAsiaTheme="minorEastAsia" w:hAnsiTheme="minorEastAsia"/>
          <w:sz w:val="24"/>
          <w:szCs w:val="24"/>
        </w:rPr>
        <w:t xml:space="preserve"> </w:t>
      </w:r>
      <w:r w:rsidR="00F46062">
        <w:rPr>
          <w:rFonts w:asciiTheme="minorEastAsia" w:eastAsiaTheme="minorEastAsia" w:hAnsiTheme="minorEastAsia" w:hint="eastAsia"/>
          <w:sz w:val="24"/>
          <w:szCs w:val="24"/>
        </w:rPr>
        <w:t>礼来产品</w:t>
      </w:r>
      <w:r w:rsidR="00F46062" w:rsidRPr="00F46062">
        <w:rPr>
          <w:rFonts w:asciiTheme="minorEastAsia" w:eastAsiaTheme="minorEastAsia" w:hAnsiTheme="minorEastAsia"/>
          <w:sz w:val="24"/>
          <w:szCs w:val="24"/>
        </w:rPr>
        <w:t>Tauvid</w:t>
      </w:r>
      <w:r w:rsidR="00F46062" w:rsidRPr="00F46062">
        <w:rPr>
          <w:rFonts w:asciiTheme="minorEastAsia" w:eastAsiaTheme="minorEastAsia" w:hAnsiTheme="minorEastAsia" w:hint="eastAsia"/>
          <w:sz w:val="24"/>
          <w:szCs w:val="24"/>
        </w:rPr>
        <w:t>获</w:t>
      </w:r>
      <w:r w:rsidR="00F46062" w:rsidRPr="00F46062">
        <w:rPr>
          <w:rFonts w:asciiTheme="minorEastAsia" w:eastAsiaTheme="minorEastAsia" w:hAnsiTheme="minorEastAsia"/>
          <w:sz w:val="24"/>
          <w:szCs w:val="24"/>
        </w:rPr>
        <w:t>FDA</w:t>
      </w:r>
      <w:r w:rsidR="00F46062" w:rsidRPr="00F46062">
        <w:rPr>
          <w:rFonts w:asciiTheme="minorEastAsia" w:eastAsiaTheme="minorEastAsia" w:hAnsiTheme="minorEastAsia" w:hint="eastAsia"/>
          <w:sz w:val="24"/>
          <w:szCs w:val="24"/>
        </w:rPr>
        <w:t>批准</w:t>
      </w:r>
      <w:r w:rsidR="00F46062">
        <w:rPr>
          <w:rFonts w:asciiTheme="minorEastAsia" w:eastAsiaTheme="minorEastAsia" w:hAnsiTheme="minorEastAsia" w:hint="eastAsia"/>
          <w:sz w:val="24"/>
          <w:szCs w:val="24"/>
        </w:rPr>
        <w:t>上市</w:t>
      </w:r>
      <w:r w:rsidR="00F46062" w:rsidRPr="00F46062">
        <w:rPr>
          <w:rFonts w:asciiTheme="minorEastAsia" w:eastAsiaTheme="minorEastAsia" w:hAnsiTheme="minorEastAsia"/>
          <w:sz w:val="24"/>
          <w:szCs w:val="24"/>
        </w:rPr>
        <w:t>,</w:t>
      </w:r>
      <w:r w:rsidR="00F46062" w:rsidRPr="00F46062">
        <w:rPr>
          <w:rFonts w:asciiTheme="minorEastAsia" w:eastAsiaTheme="minorEastAsia" w:hAnsiTheme="minorEastAsia" w:hint="eastAsia"/>
          <w:sz w:val="24"/>
          <w:szCs w:val="24"/>
        </w:rPr>
        <w:t xml:space="preserve"> </w:t>
      </w:r>
      <w:r w:rsidR="00F46062">
        <w:rPr>
          <w:rFonts w:asciiTheme="minorEastAsia" w:eastAsiaTheme="minorEastAsia" w:hAnsiTheme="minorEastAsia" w:hint="eastAsia"/>
          <w:sz w:val="24"/>
          <w:szCs w:val="24"/>
        </w:rPr>
        <w:t>该产品</w:t>
      </w:r>
      <w:r w:rsidR="00F46062" w:rsidRPr="00F46062">
        <w:rPr>
          <w:rFonts w:asciiTheme="minorEastAsia" w:eastAsiaTheme="minorEastAsia" w:hAnsiTheme="minorEastAsia" w:hint="eastAsia"/>
          <w:sz w:val="24"/>
          <w:szCs w:val="24"/>
        </w:rPr>
        <w:t>用于阿尔茨海默</w:t>
      </w:r>
      <w:r w:rsidR="000A2106">
        <w:rPr>
          <w:rFonts w:asciiTheme="minorEastAsia" w:eastAsiaTheme="minorEastAsia" w:hAnsiTheme="minorEastAsia" w:hint="eastAsia"/>
          <w:sz w:val="24"/>
          <w:szCs w:val="24"/>
        </w:rPr>
        <w:t>症</w:t>
      </w:r>
      <w:r w:rsidR="00F46062" w:rsidRPr="00F46062">
        <w:rPr>
          <w:rFonts w:asciiTheme="minorEastAsia" w:eastAsiaTheme="minorEastAsia" w:hAnsiTheme="minorEastAsia" w:hint="eastAsia"/>
          <w:sz w:val="24"/>
          <w:szCs w:val="24"/>
        </w:rPr>
        <w:t>诊断</w:t>
      </w:r>
      <w:r w:rsidR="00F46062">
        <w:rPr>
          <w:rFonts w:asciiTheme="minorEastAsia" w:eastAsiaTheme="minorEastAsia" w:hAnsiTheme="minorEastAsia" w:hint="eastAsia"/>
          <w:sz w:val="24"/>
          <w:szCs w:val="24"/>
        </w:rPr>
        <w:t>。西门子医疗F标记的用于乳腺癌诊断的新药</w:t>
      </w:r>
      <w:r w:rsidR="000A2106">
        <w:rPr>
          <w:rFonts w:asciiTheme="minorEastAsia" w:eastAsiaTheme="minorEastAsia" w:hAnsiTheme="minorEastAsia" w:hint="eastAsia"/>
          <w:sz w:val="24"/>
          <w:szCs w:val="24"/>
        </w:rPr>
        <w:t>也于近期</w:t>
      </w:r>
      <w:r w:rsidR="00F46062">
        <w:rPr>
          <w:rFonts w:asciiTheme="minorEastAsia" w:eastAsiaTheme="minorEastAsia" w:hAnsiTheme="minorEastAsia" w:hint="eastAsia"/>
          <w:sz w:val="24"/>
          <w:szCs w:val="24"/>
        </w:rPr>
        <w:t>获得F</w:t>
      </w:r>
      <w:r w:rsidR="00F46062">
        <w:rPr>
          <w:rFonts w:asciiTheme="minorEastAsia" w:eastAsiaTheme="minorEastAsia" w:hAnsiTheme="minorEastAsia"/>
          <w:sz w:val="24"/>
          <w:szCs w:val="24"/>
        </w:rPr>
        <w:t>DA</w:t>
      </w:r>
      <w:r w:rsidR="00F46062">
        <w:rPr>
          <w:rFonts w:asciiTheme="minorEastAsia" w:eastAsiaTheme="minorEastAsia" w:hAnsiTheme="minorEastAsia" w:hint="eastAsia"/>
          <w:sz w:val="24"/>
          <w:szCs w:val="24"/>
        </w:rPr>
        <w:t>批准，这两个产品的上市，说明核医药领域正在被关注</w:t>
      </w:r>
      <w:r w:rsidR="001B5DB3">
        <w:rPr>
          <w:rFonts w:asciiTheme="minorEastAsia" w:eastAsiaTheme="minorEastAsia" w:hAnsiTheme="minorEastAsia" w:hint="eastAsia"/>
          <w:sz w:val="24"/>
          <w:szCs w:val="24"/>
        </w:rPr>
        <w:t>，核医药在诊疗一体化具有独特的作用，越来越多的药企进入这个行业，势必会催生核医药的快速发展。</w:t>
      </w:r>
    </w:p>
    <w:p w14:paraId="541F6561" w14:textId="3DA8042C" w:rsidR="001B5DB3" w:rsidRPr="001B5DB3" w:rsidRDefault="001B5DB3" w:rsidP="001B5DB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公司在研产品管线中有针对该病种的药品</w:t>
      </w:r>
      <w:r w:rsidR="000A210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前期已公告过，与日本N</w:t>
      </w:r>
      <w:r>
        <w:rPr>
          <w:rFonts w:asciiTheme="minorEastAsia" w:eastAsiaTheme="minorEastAsia" w:hAnsiTheme="minorEastAsia"/>
          <w:sz w:val="24"/>
          <w:szCs w:val="24"/>
        </w:rPr>
        <w:t>MP</w:t>
      </w:r>
      <w:r>
        <w:rPr>
          <w:rFonts w:asciiTheme="minorEastAsia" w:eastAsiaTheme="minorEastAsia" w:hAnsiTheme="minorEastAsia" w:hint="eastAsia"/>
          <w:sz w:val="24"/>
          <w:szCs w:val="24"/>
        </w:rPr>
        <w:t>公司正在</w:t>
      </w:r>
      <w:r w:rsidR="000A2106">
        <w:rPr>
          <w:rFonts w:asciiTheme="minorEastAsia" w:eastAsiaTheme="minorEastAsia" w:hAnsiTheme="minorEastAsia" w:hint="eastAsia"/>
          <w:sz w:val="24"/>
          <w:szCs w:val="24"/>
        </w:rPr>
        <w:t>洽谈</w:t>
      </w:r>
      <w:r>
        <w:rPr>
          <w:rFonts w:asciiTheme="minorEastAsia" w:eastAsiaTheme="minorEastAsia" w:hAnsiTheme="minorEastAsia" w:hint="eastAsia"/>
          <w:sz w:val="24"/>
          <w:szCs w:val="24"/>
        </w:rPr>
        <w:t>一个核药产品，用于阿尔茨海默症的诊断，目前正在进行商务谈判。引进北京肿瘤产品</w:t>
      </w:r>
      <w:r w:rsidRPr="001B5DB3">
        <w:rPr>
          <w:rFonts w:asciiTheme="minorEastAsia" w:eastAsiaTheme="minorEastAsia" w:hAnsiTheme="minorEastAsia"/>
          <w:sz w:val="24"/>
          <w:szCs w:val="24"/>
          <w:vertAlign w:val="superscript"/>
        </w:rPr>
        <w:t>99</w:t>
      </w:r>
      <w:r w:rsidRPr="001B5DB3">
        <w:rPr>
          <w:rFonts w:asciiTheme="minorEastAsia" w:eastAsiaTheme="minorEastAsia" w:hAnsiTheme="minorEastAsia" w:hint="eastAsia"/>
          <w:sz w:val="24"/>
          <w:szCs w:val="24"/>
          <w:vertAlign w:val="superscript"/>
        </w:rPr>
        <w:t>m</w:t>
      </w:r>
      <w:r>
        <w:rPr>
          <w:rFonts w:asciiTheme="minorEastAsia" w:eastAsiaTheme="minorEastAsia" w:hAnsiTheme="minorEastAsia" w:hint="eastAsia"/>
          <w:sz w:val="24"/>
          <w:szCs w:val="24"/>
        </w:rPr>
        <w:t xml:space="preserve"> Tc标记美罗华，用于乳腺癌诊断，目前正在进行技术转移，</w:t>
      </w:r>
      <w:r w:rsidR="000E6A0B">
        <w:rPr>
          <w:rFonts w:asciiTheme="minorEastAsia" w:eastAsiaTheme="minorEastAsia" w:hAnsiTheme="minorEastAsia" w:hint="eastAsia"/>
          <w:sz w:val="24"/>
          <w:szCs w:val="24"/>
        </w:rPr>
        <w:t>转移完成后将按照一类新药注册申报，争取尽早上市，为患者造福。</w:t>
      </w:r>
    </w:p>
    <w:p w14:paraId="7895A065" w14:textId="29DC90C6" w:rsidR="00F46062" w:rsidRDefault="00F46062" w:rsidP="00F46062">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w:t>
      </w:r>
      <w:r w:rsidR="00146387">
        <w:rPr>
          <w:rFonts w:asciiTheme="minorEastAsia" w:eastAsiaTheme="minorEastAsia" w:hAnsiTheme="minorEastAsia" w:hint="eastAsia"/>
          <w:b/>
          <w:sz w:val="24"/>
          <w:szCs w:val="24"/>
        </w:rPr>
        <w:t>三</w:t>
      </w:r>
      <w:r>
        <w:rPr>
          <w:rFonts w:asciiTheme="minorEastAsia" w:eastAsiaTheme="minorEastAsia" w:hAnsiTheme="minorEastAsia" w:hint="eastAsia"/>
          <w:b/>
          <w:sz w:val="24"/>
          <w:szCs w:val="24"/>
        </w:rPr>
        <w:t>：国家对于pet-ct的配置，目前的进展程度？疫情是否影响装机进度</w:t>
      </w:r>
      <w:r w:rsidR="00146387">
        <w:rPr>
          <w:rFonts w:asciiTheme="minorEastAsia" w:eastAsiaTheme="minorEastAsia" w:hAnsiTheme="minorEastAsia" w:hint="eastAsia"/>
          <w:b/>
          <w:sz w:val="24"/>
          <w:szCs w:val="24"/>
        </w:rPr>
        <w:t>？医院从配置许可到正式装机需要多久？</w:t>
      </w:r>
    </w:p>
    <w:p w14:paraId="1F3730B0" w14:textId="44FED665" w:rsidR="00F46062" w:rsidRDefault="00F46062" w:rsidP="004B1A7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00146387">
        <w:rPr>
          <w:rFonts w:asciiTheme="minorEastAsia" w:eastAsiaTheme="minorEastAsia" w:hAnsiTheme="minorEastAsia"/>
          <w:sz w:val="24"/>
          <w:szCs w:val="24"/>
        </w:rPr>
        <w:t>1</w:t>
      </w:r>
      <w:r w:rsidR="0014638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截止2020年</w:t>
      </w:r>
      <w:r>
        <w:rPr>
          <w:rFonts w:asciiTheme="minorEastAsia" w:eastAsiaTheme="minorEastAsia" w:hAnsiTheme="minorEastAsia"/>
          <w:sz w:val="24"/>
          <w:szCs w:val="24"/>
        </w:rPr>
        <w:t>5</w:t>
      </w:r>
      <w:r>
        <w:rPr>
          <w:rFonts w:asciiTheme="minorEastAsia" w:eastAsiaTheme="minorEastAsia" w:hAnsiTheme="minorEastAsia" w:hint="eastAsia"/>
          <w:sz w:val="24"/>
          <w:szCs w:val="24"/>
        </w:rPr>
        <w:t>月底，共计28个省公布了管理细则， 17个省公布了配置名单，其中PET-CT配置名单 21</w:t>
      </w:r>
      <w:r>
        <w:rPr>
          <w:rFonts w:asciiTheme="minorEastAsia" w:eastAsiaTheme="minorEastAsia" w:hAnsiTheme="minorEastAsia"/>
          <w:sz w:val="24"/>
          <w:szCs w:val="24"/>
        </w:rPr>
        <w:t>4</w:t>
      </w:r>
      <w:r>
        <w:rPr>
          <w:rFonts w:asciiTheme="minorEastAsia" w:eastAsiaTheme="minorEastAsia" w:hAnsiTheme="minorEastAsia" w:hint="eastAsia"/>
          <w:sz w:val="24"/>
          <w:szCs w:val="24"/>
        </w:rPr>
        <w:t>台，完成PET/CT总配置 5</w:t>
      </w:r>
      <w:r>
        <w:rPr>
          <w:rFonts w:asciiTheme="minorEastAsia" w:eastAsiaTheme="minorEastAsia" w:hAnsiTheme="minorEastAsia"/>
          <w:sz w:val="24"/>
          <w:szCs w:val="24"/>
        </w:rPr>
        <w:t>7</w:t>
      </w:r>
      <w:r>
        <w:rPr>
          <w:rFonts w:asciiTheme="minorEastAsia" w:eastAsiaTheme="minorEastAsia" w:hAnsiTheme="minorEastAsia" w:hint="eastAsia"/>
          <w:sz w:val="24"/>
          <w:szCs w:val="24"/>
        </w:rPr>
        <w:t>%（21</w:t>
      </w:r>
      <w:r>
        <w:rPr>
          <w:rFonts w:asciiTheme="minorEastAsia" w:eastAsiaTheme="minorEastAsia" w:hAnsiTheme="minorEastAsia"/>
          <w:sz w:val="24"/>
          <w:szCs w:val="24"/>
        </w:rPr>
        <w:t>4</w:t>
      </w:r>
      <w:r>
        <w:rPr>
          <w:rFonts w:asciiTheme="minorEastAsia" w:eastAsiaTheme="minorEastAsia" w:hAnsiTheme="minorEastAsia" w:hint="eastAsia"/>
          <w:sz w:val="24"/>
          <w:szCs w:val="24"/>
        </w:rPr>
        <w:t>/377）。目前已基本完成配置发放的省份：安徽、福建、河南、广东；截止到</w:t>
      </w:r>
      <w:r>
        <w:rPr>
          <w:rFonts w:asciiTheme="minorEastAsia" w:eastAsiaTheme="minorEastAsia" w:hAnsiTheme="minorEastAsia"/>
          <w:sz w:val="24"/>
          <w:szCs w:val="24"/>
        </w:rPr>
        <w:t>5</w:t>
      </w:r>
      <w:r>
        <w:rPr>
          <w:rFonts w:asciiTheme="minorEastAsia" w:eastAsiaTheme="minorEastAsia" w:hAnsiTheme="minorEastAsia" w:hint="eastAsia"/>
          <w:sz w:val="24"/>
          <w:szCs w:val="24"/>
        </w:rPr>
        <w:t>月底，全</w:t>
      </w:r>
      <w:r>
        <w:rPr>
          <w:rFonts w:asciiTheme="minorEastAsia" w:eastAsiaTheme="minorEastAsia" w:hAnsiTheme="minorEastAsia" w:hint="eastAsia"/>
          <w:sz w:val="24"/>
          <w:szCs w:val="24"/>
        </w:rPr>
        <w:lastRenderedPageBreak/>
        <w:t>国PET-CT已完成新增装机</w:t>
      </w:r>
      <w:r>
        <w:rPr>
          <w:rFonts w:asciiTheme="minorEastAsia" w:eastAsiaTheme="minorEastAsia" w:hAnsiTheme="minorEastAsia"/>
          <w:sz w:val="24"/>
          <w:szCs w:val="24"/>
        </w:rPr>
        <w:t>94</w:t>
      </w:r>
      <w:r>
        <w:rPr>
          <w:rFonts w:asciiTheme="minorEastAsia" w:eastAsiaTheme="minorEastAsia" w:hAnsiTheme="minorEastAsia" w:hint="eastAsia"/>
          <w:sz w:val="24"/>
          <w:szCs w:val="24"/>
        </w:rPr>
        <w:t>台（含更新）。</w:t>
      </w:r>
    </w:p>
    <w:p w14:paraId="100A5CC5" w14:textId="448E1991" w:rsidR="00F46062" w:rsidRDefault="00146387" w:rsidP="0014638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00F46062" w:rsidRPr="00F46062">
        <w:rPr>
          <w:rFonts w:asciiTheme="minorEastAsia" w:eastAsiaTheme="minorEastAsia" w:hAnsiTheme="minorEastAsia" w:hint="eastAsia"/>
          <w:sz w:val="24"/>
          <w:szCs w:val="24"/>
        </w:rPr>
        <w:t>受疫情影响</w:t>
      </w:r>
      <w:r w:rsidR="00F46062">
        <w:rPr>
          <w:rFonts w:asciiTheme="minorEastAsia" w:eastAsiaTheme="minorEastAsia" w:hAnsiTheme="minorEastAsia" w:hint="eastAsia"/>
          <w:sz w:val="24"/>
          <w:szCs w:val="24"/>
        </w:rPr>
        <w:t>部分省市的配置及装机速度有所延缓，但疫情过后，基于对大型医疗设备的需求的增加，预计后续配置速度和装机速度会加快，</w:t>
      </w:r>
      <w:r w:rsidR="000A2106">
        <w:rPr>
          <w:rFonts w:asciiTheme="minorEastAsia" w:eastAsiaTheme="minorEastAsia" w:hAnsiTheme="minorEastAsia" w:hint="eastAsia"/>
          <w:sz w:val="24"/>
          <w:szCs w:val="24"/>
        </w:rPr>
        <w:t>预计</w:t>
      </w:r>
      <w:r w:rsidR="00F46062">
        <w:rPr>
          <w:rFonts w:asciiTheme="minorEastAsia" w:eastAsiaTheme="minorEastAsia" w:hAnsiTheme="minorEastAsia" w:hint="eastAsia"/>
          <w:sz w:val="24"/>
          <w:szCs w:val="24"/>
        </w:rPr>
        <w:t>未来P</w:t>
      </w:r>
      <w:r w:rsidR="00F46062">
        <w:rPr>
          <w:rFonts w:asciiTheme="minorEastAsia" w:eastAsiaTheme="minorEastAsia" w:hAnsiTheme="minorEastAsia"/>
          <w:sz w:val="24"/>
          <w:szCs w:val="24"/>
        </w:rPr>
        <w:t>ET</w:t>
      </w:r>
      <w:r w:rsidR="00F46062">
        <w:rPr>
          <w:rFonts w:asciiTheme="minorEastAsia" w:eastAsiaTheme="minorEastAsia" w:hAnsiTheme="minorEastAsia" w:hint="eastAsia"/>
          <w:sz w:val="24"/>
          <w:szCs w:val="24"/>
        </w:rPr>
        <w:t>-</w:t>
      </w:r>
      <w:r w:rsidR="00F46062">
        <w:rPr>
          <w:rFonts w:asciiTheme="minorEastAsia" w:eastAsiaTheme="minorEastAsia" w:hAnsiTheme="minorEastAsia"/>
          <w:sz w:val="24"/>
          <w:szCs w:val="24"/>
        </w:rPr>
        <w:t>CT</w:t>
      </w:r>
      <w:r w:rsidR="00F46062">
        <w:rPr>
          <w:rFonts w:asciiTheme="minorEastAsia" w:eastAsiaTheme="minorEastAsia" w:hAnsiTheme="minorEastAsia" w:hint="eastAsia"/>
          <w:sz w:val="24"/>
          <w:szCs w:val="24"/>
        </w:rPr>
        <w:t>的配置数量将</w:t>
      </w:r>
      <w:r w:rsidR="000A2106">
        <w:rPr>
          <w:rFonts w:asciiTheme="minorEastAsia" w:eastAsiaTheme="minorEastAsia" w:hAnsiTheme="minorEastAsia" w:hint="eastAsia"/>
          <w:sz w:val="24"/>
          <w:szCs w:val="24"/>
        </w:rPr>
        <w:t>会</w:t>
      </w:r>
      <w:r w:rsidR="00F46062">
        <w:rPr>
          <w:rFonts w:asciiTheme="minorEastAsia" w:eastAsiaTheme="minorEastAsia" w:hAnsiTheme="minorEastAsia" w:hint="eastAsia"/>
          <w:sz w:val="24"/>
          <w:szCs w:val="24"/>
        </w:rPr>
        <w:t>明显增加。</w:t>
      </w:r>
    </w:p>
    <w:p w14:paraId="304B2871" w14:textId="5A5EF145" w:rsidR="00146387" w:rsidRPr="00146387" w:rsidRDefault="00146387" w:rsidP="0014638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hint="eastAsia"/>
          <w:sz w:val="24"/>
          <w:szCs w:val="24"/>
        </w:rPr>
        <w:t>、从以往装机的医院看，从获得P</w:t>
      </w:r>
      <w:r>
        <w:rPr>
          <w:rFonts w:asciiTheme="minorEastAsia" w:eastAsiaTheme="minorEastAsia" w:hAnsiTheme="minorEastAsia"/>
          <w:sz w:val="24"/>
          <w:szCs w:val="24"/>
        </w:rPr>
        <w:t>ET</w:t>
      </w:r>
      <w:r>
        <w:rPr>
          <w:rFonts w:asciiTheme="minorEastAsia" w:eastAsiaTheme="minorEastAsia" w:hAnsiTheme="minorEastAsia" w:hint="eastAsia"/>
          <w:sz w:val="24"/>
          <w:szCs w:val="24"/>
        </w:rPr>
        <w:t>配置许可，到采购P</w:t>
      </w:r>
      <w:r>
        <w:rPr>
          <w:rFonts w:asciiTheme="minorEastAsia" w:eastAsiaTheme="minorEastAsia" w:hAnsiTheme="minorEastAsia"/>
          <w:sz w:val="24"/>
          <w:szCs w:val="24"/>
        </w:rPr>
        <w:t>ETCT</w:t>
      </w:r>
      <w:r>
        <w:rPr>
          <w:rFonts w:asciiTheme="minorEastAsia" w:eastAsiaTheme="minorEastAsia" w:hAnsiTheme="minorEastAsia" w:hint="eastAsia"/>
          <w:sz w:val="24"/>
          <w:szCs w:val="24"/>
        </w:rPr>
        <w:t>，到装机，到投入运营一般需要半年到一年的时间。</w:t>
      </w:r>
    </w:p>
    <w:p w14:paraId="391275E4" w14:textId="2F2F730C" w:rsidR="000E6A0B" w:rsidRDefault="000E6A0B" w:rsidP="000E6A0B">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w:t>
      </w:r>
      <w:r w:rsidR="000A2106">
        <w:rPr>
          <w:rFonts w:asciiTheme="minorEastAsia" w:eastAsiaTheme="minorEastAsia" w:hAnsiTheme="minorEastAsia" w:hint="eastAsia"/>
          <w:b/>
          <w:sz w:val="24"/>
          <w:szCs w:val="24"/>
        </w:rPr>
        <w:t>四</w:t>
      </w:r>
      <w:r>
        <w:rPr>
          <w:rFonts w:asciiTheme="minorEastAsia" w:eastAsiaTheme="minorEastAsia" w:hAnsiTheme="minorEastAsia" w:hint="eastAsia"/>
          <w:b/>
          <w:sz w:val="24"/>
          <w:szCs w:val="24"/>
        </w:rPr>
        <w:t>：云克相关临床研究工作的进展？如何看待阿达木进入医保</w:t>
      </w:r>
    </w:p>
    <w:p w14:paraId="144187B1" w14:textId="0C0B3535" w:rsidR="000E6A0B" w:rsidRDefault="00146387" w:rsidP="000E6A0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0E6A0B">
        <w:rPr>
          <w:rFonts w:asciiTheme="minorEastAsia" w:eastAsiaTheme="minorEastAsia" w:hAnsiTheme="minorEastAsia" w:hint="eastAsia"/>
          <w:sz w:val="24"/>
          <w:szCs w:val="24"/>
        </w:rPr>
        <w:t>公司正在积极推进云克注射液的临床研究工作，具体进展如下：</w:t>
      </w:r>
      <w:r w:rsidR="000E6A0B">
        <w:rPr>
          <w:rFonts w:asciiTheme="minorEastAsia" w:eastAsiaTheme="minorEastAsia" w:hAnsiTheme="minorEastAsia"/>
          <w:sz w:val="24"/>
          <w:szCs w:val="24"/>
        </w:rPr>
        <w:t xml:space="preserve"> </w:t>
      </w:r>
    </w:p>
    <w:p w14:paraId="30FF5F4D" w14:textId="77777777" w:rsidR="000E6A0B" w:rsidRDefault="000E6A0B" w:rsidP="000E6A0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共识一：</w:t>
      </w:r>
      <w:r>
        <w:rPr>
          <w:rFonts w:asciiTheme="minorEastAsia" w:eastAsiaTheme="minorEastAsia" w:hAnsiTheme="minorEastAsia"/>
          <w:sz w:val="24"/>
          <w:szCs w:val="24"/>
        </w:rPr>
        <w:t>2019年8月，由中华医学会核医学分会主任委员曾小峰教授牵头组织的《99Tc锝亚甲基二膦酸盐注射液治疗类风湿关节炎专家共识》成功发表，共识指出，云克注射液在治疗类风湿性关节炎、骨质疏松方面具有良好作用，且安全性高；</w:t>
      </w:r>
    </w:p>
    <w:p w14:paraId="4FF7EA2F" w14:textId="2D45741F" w:rsidR="000E6A0B" w:rsidRDefault="000E6A0B" w:rsidP="000E6A0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共识二：</w:t>
      </w:r>
      <w:r>
        <w:rPr>
          <w:rFonts w:asciiTheme="minorEastAsia" w:eastAsiaTheme="minorEastAsia" w:hAnsiTheme="minorEastAsia"/>
          <w:sz w:val="24"/>
          <w:szCs w:val="24"/>
        </w:rPr>
        <w:t>2020年1月，由中华医学会疼痛学分会主任委员刘延青教授牵头组织的《骨代谢</w:t>
      </w:r>
      <w:r>
        <w:rPr>
          <w:rFonts w:asciiTheme="minorEastAsia" w:eastAsiaTheme="minorEastAsia" w:hAnsiTheme="minorEastAsia" w:hint="eastAsia"/>
          <w:sz w:val="24"/>
          <w:szCs w:val="24"/>
        </w:rPr>
        <w:t>异常相关疼痛病诊疗中国专家共识》正式发表，共识指出：云克注射液在具有抑制骨吸收和促进骨形成及抗炎等基于多种机制的治疗效果，可广泛用于过重骨代谢异常相关疼痛病的治疗。</w:t>
      </w:r>
    </w:p>
    <w:p w14:paraId="5C8494DD" w14:textId="1A779822" w:rsidR="000E6A0B" w:rsidRDefault="000E6A0B" w:rsidP="000E6A0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公司将持续推进云克注射液的临床研究工作，争取</w:t>
      </w:r>
      <w:r w:rsidR="000A2106">
        <w:rPr>
          <w:rFonts w:asciiTheme="minorEastAsia" w:eastAsiaTheme="minorEastAsia" w:hAnsiTheme="minorEastAsia" w:hint="eastAsia"/>
          <w:sz w:val="24"/>
          <w:szCs w:val="24"/>
        </w:rPr>
        <w:t>有</w:t>
      </w:r>
      <w:r>
        <w:rPr>
          <w:rFonts w:asciiTheme="minorEastAsia" w:eastAsiaTheme="minorEastAsia" w:hAnsiTheme="minorEastAsia" w:hint="eastAsia"/>
          <w:sz w:val="24"/>
          <w:szCs w:val="24"/>
        </w:rPr>
        <w:t>更多的专家共识、用药指南发表，为</w:t>
      </w:r>
      <w:r w:rsidR="00E97613">
        <w:rPr>
          <w:rFonts w:asciiTheme="minorEastAsia" w:eastAsiaTheme="minorEastAsia" w:hAnsiTheme="minorEastAsia" w:hint="eastAsia"/>
          <w:sz w:val="24"/>
          <w:szCs w:val="24"/>
        </w:rPr>
        <w:t>患者的应用提供科学、规范的用药指导。</w:t>
      </w:r>
    </w:p>
    <w:p w14:paraId="2BF5F010" w14:textId="7F73C3E5" w:rsidR="00E97613" w:rsidRDefault="00146387" w:rsidP="000E6A0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E97613">
        <w:rPr>
          <w:rFonts w:asciiTheme="minorEastAsia" w:eastAsiaTheme="minorEastAsia" w:hAnsiTheme="minorEastAsia" w:hint="eastAsia"/>
          <w:sz w:val="24"/>
          <w:szCs w:val="24"/>
        </w:rPr>
        <w:t>阿达木</w:t>
      </w:r>
      <w:r w:rsidR="004B1A77">
        <w:rPr>
          <w:rFonts w:asciiTheme="minorEastAsia" w:eastAsiaTheme="minorEastAsia" w:hAnsiTheme="minorEastAsia" w:hint="eastAsia"/>
          <w:sz w:val="24"/>
          <w:szCs w:val="24"/>
        </w:rPr>
        <w:t>单抗</w:t>
      </w:r>
      <w:r w:rsidR="00E97613">
        <w:rPr>
          <w:rFonts w:asciiTheme="minorEastAsia" w:eastAsiaTheme="minorEastAsia" w:hAnsiTheme="minorEastAsia" w:hint="eastAsia"/>
          <w:sz w:val="24"/>
          <w:szCs w:val="24"/>
        </w:rPr>
        <w:t>属于生物药，在起效速率上有优势。云克属于化药，在</w:t>
      </w:r>
      <w:r w:rsidR="000A2106">
        <w:rPr>
          <w:rFonts w:asciiTheme="minorEastAsia" w:eastAsiaTheme="minorEastAsia" w:hAnsiTheme="minorEastAsia" w:hint="eastAsia"/>
          <w:sz w:val="24"/>
          <w:szCs w:val="24"/>
        </w:rPr>
        <w:t>药物</w:t>
      </w:r>
      <w:r w:rsidR="00E97613">
        <w:rPr>
          <w:rFonts w:asciiTheme="minorEastAsia" w:eastAsiaTheme="minorEastAsia" w:hAnsiTheme="minorEastAsia" w:hint="eastAsia"/>
          <w:sz w:val="24"/>
          <w:szCs w:val="24"/>
        </w:rPr>
        <w:t>安全性方面具有优势，未来更多的会采用联合用药的方式即用阿达木单抗类药物迅速起效，缓解疼痛，然后再长期使用云克稳定病情。</w:t>
      </w:r>
    </w:p>
    <w:p w14:paraId="38F12CF8" w14:textId="00935E6D" w:rsidR="00184AF0" w:rsidRDefault="00A51BE5" w:rsidP="00763DFB">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w:t>
      </w:r>
      <w:r w:rsidR="00BC1D2F">
        <w:rPr>
          <w:rFonts w:asciiTheme="minorEastAsia" w:eastAsiaTheme="minorEastAsia" w:hAnsiTheme="minorEastAsia" w:hint="eastAsia"/>
          <w:b/>
          <w:sz w:val="24"/>
          <w:szCs w:val="24"/>
        </w:rPr>
        <w:t>五</w:t>
      </w:r>
      <w:r>
        <w:rPr>
          <w:rFonts w:asciiTheme="minorEastAsia" w:eastAsiaTheme="minorEastAsia" w:hAnsiTheme="minorEastAsia" w:hint="eastAsia"/>
          <w:b/>
          <w:sz w:val="24"/>
          <w:szCs w:val="24"/>
        </w:rPr>
        <w:t>：</w:t>
      </w:r>
      <w:r w:rsidR="00146387">
        <w:rPr>
          <w:rFonts w:asciiTheme="minorEastAsia" w:eastAsiaTheme="minorEastAsia" w:hAnsiTheme="minorEastAsia" w:hint="eastAsia"/>
          <w:b/>
          <w:sz w:val="24"/>
          <w:szCs w:val="24"/>
        </w:rPr>
        <w:t>公司未来的战略</w:t>
      </w:r>
      <w:r w:rsidR="00E954E9">
        <w:rPr>
          <w:rFonts w:asciiTheme="minorEastAsia" w:eastAsiaTheme="minorEastAsia" w:hAnsiTheme="minorEastAsia" w:hint="eastAsia"/>
          <w:b/>
          <w:sz w:val="24"/>
          <w:szCs w:val="24"/>
        </w:rPr>
        <w:t>？</w:t>
      </w:r>
    </w:p>
    <w:p w14:paraId="08DD5842" w14:textId="77777777" w:rsidR="000A2106" w:rsidRDefault="00A51BE5" w:rsidP="0014638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00146387" w:rsidRPr="00146387">
        <w:rPr>
          <w:rFonts w:asciiTheme="minorEastAsia" w:eastAsiaTheme="minorEastAsia" w:hAnsiTheme="minorEastAsia"/>
          <w:sz w:val="24"/>
          <w:szCs w:val="24"/>
        </w:rPr>
        <w:t>公司</w:t>
      </w:r>
      <w:r w:rsidR="006D7438">
        <w:rPr>
          <w:rFonts w:asciiTheme="minorEastAsia" w:eastAsiaTheme="minorEastAsia" w:hAnsiTheme="minorEastAsia" w:hint="eastAsia"/>
          <w:sz w:val="24"/>
          <w:szCs w:val="24"/>
        </w:rPr>
        <w:t>将</w:t>
      </w:r>
      <w:r w:rsidR="00146387" w:rsidRPr="00146387">
        <w:rPr>
          <w:rFonts w:asciiTheme="minorEastAsia" w:eastAsiaTheme="minorEastAsia" w:hAnsiTheme="minorEastAsia"/>
          <w:sz w:val="24"/>
          <w:szCs w:val="24"/>
        </w:rPr>
        <w:t>始终坚持</w:t>
      </w:r>
      <w:r w:rsidR="00146387">
        <w:rPr>
          <w:rFonts w:asciiTheme="minorEastAsia" w:eastAsiaTheme="minorEastAsia" w:hAnsiTheme="minorEastAsia" w:hint="eastAsia"/>
          <w:sz w:val="24"/>
          <w:szCs w:val="24"/>
        </w:rPr>
        <w:t>以传统生化原料药</w:t>
      </w:r>
      <w:r w:rsidR="006D7438">
        <w:rPr>
          <w:rFonts w:asciiTheme="minorEastAsia" w:eastAsiaTheme="minorEastAsia" w:hAnsiTheme="minorEastAsia" w:hint="eastAsia"/>
          <w:sz w:val="24"/>
          <w:szCs w:val="24"/>
        </w:rPr>
        <w:t>及下游制剂板块为基础</w:t>
      </w:r>
      <w:r w:rsidR="00146387" w:rsidRPr="00146387">
        <w:rPr>
          <w:rFonts w:asciiTheme="minorEastAsia" w:eastAsiaTheme="minorEastAsia" w:hAnsiTheme="minorEastAsia"/>
          <w:sz w:val="24"/>
          <w:szCs w:val="24"/>
        </w:rPr>
        <w:t>、</w:t>
      </w:r>
      <w:r w:rsidR="006D7438">
        <w:rPr>
          <w:rFonts w:asciiTheme="minorEastAsia" w:eastAsiaTheme="minorEastAsia" w:hAnsiTheme="minorEastAsia" w:hint="eastAsia"/>
          <w:sz w:val="24"/>
          <w:szCs w:val="24"/>
        </w:rPr>
        <w:t>核医药为重点的</w:t>
      </w:r>
      <w:r w:rsidR="00146387" w:rsidRPr="00146387">
        <w:rPr>
          <w:rFonts w:asciiTheme="minorEastAsia" w:eastAsiaTheme="minorEastAsia" w:hAnsiTheme="minorEastAsia"/>
          <w:sz w:val="24"/>
          <w:szCs w:val="24"/>
        </w:rPr>
        <w:t>发展战略。原料药、制剂板块作为公司经营多年的传统业务板块，在产业链资源和资质认证方面具有一定的优势，是公司发展的利润来源保障。未来公司将在传承肝素、硫酸软骨素的优势原料药资源上，向下游产业链延伸，打造抗凝领域及心脑血管领域优秀的制剂产品，保障公司现金流。</w:t>
      </w:r>
    </w:p>
    <w:p w14:paraId="6E7BDC60" w14:textId="1F1C13C6" w:rsidR="006D7438" w:rsidRDefault="00146387" w:rsidP="000A2106">
      <w:pPr>
        <w:spacing w:line="360" w:lineRule="auto"/>
        <w:ind w:firstLineChars="200" w:firstLine="480"/>
        <w:rPr>
          <w:rFonts w:asciiTheme="minorEastAsia" w:eastAsiaTheme="minorEastAsia" w:hAnsiTheme="minorEastAsia"/>
          <w:sz w:val="24"/>
          <w:szCs w:val="24"/>
        </w:rPr>
      </w:pPr>
      <w:r w:rsidRPr="00146387">
        <w:rPr>
          <w:rFonts w:asciiTheme="minorEastAsia" w:eastAsiaTheme="minorEastAsia" w:hAnsiTheme="minorEastAsia"/>
          <w:sz w:val="24"/>
          <w:szCs w:val="24"/>
        </w:rPr>
        <w:t xml:space="preserve">核素药物在肿瘤、神经性疾病、免疫系统疾病、心脑血管疾病的诊疗一体化方面具有独特的优势，核药业务作为公司的重点板块，未来将在 </w:t>
      </w:r>
      <w:r w:rsidR="006D7438">
        <w:rPr>
          <w:rFonts w:asciiTheme="minorEastAsia" w:eastAsiaTheme="minorEastAsia" w:hAnsiTheme="minorEastAsia"/>
          <w:sz w:val="24"/>
          <w:szCs w:val="24"/>
        </w:rPr>
        <w:t>1</w:t>
      </w:r>
      <w:r w:rsidRPr="00146387">
        <w:rPr>
          <w:rFonts w:asciiTheme="minorEastAsia" w:eastAsiaTheme="minorEastAsia" w:hAnsiTheme="minorEastAsia"/>
          <w:sz w:val="24"/>
          <w:szCs w:val="24"/>
        </w:rPr>
        <w:t>、核药中心网</w:t>
      </w:r>
      <w:r w:rsidRPr="00146387">
        <w:rPr>
          <w:rFonts w:asciiTheme="minorEastAsia" w:eastAsiaTheme="minorEastAsia" w:hAnsiTheme="minorEastAsia"/>
          <w:sz w:val="24"/>
          <w:szCs w:val="24"/>
        </w:rPr>
        <w:lastRenderedPageBreak/>
        <w:t>络化布局方面：快速推进核药房的建设，形成以短半衰期药品的网络化布局，特别是满足各地因PET-CT快速配置形成的市场需求；形成以长半衰期药品的基地化建设</w:t>
      </w:r>
      <w:r w:rsidR="000A2106">
        <w:rPr>
          <w:rFonts w:asciiTheme="minorEastAsia" w:eastAsiaTheme="minorEastAsia" w:hAnsiTheme="minorEastAsia" w:hint="eastAsia"/>
          <w:sz w:val="24"/>
          <w:szCs w:val="24"/>
        </w:rPr>
        <w:t>，</w:t>
      </w:r>
      <w:r w:rsidRPr="00146387">
        <w:rPr>
          <w:rFonts w:asciiTheme="minorEastAsia" w:eastAsiaTheme="minorEastAsia" w:hAnsiTheme="minorEastAsia"/>
          <w:sz w:val="24"/>
          <w:szCs w:val="24"/>
        </w:rPr>
        <w:t>长短结合，轻重结合，三年内建成并投入运营超过30个核药房，基本完成全国核药网络化布局建设，覆盖全国重点大中型城市；</w:t>
      </w:r>
      <w:r w:rsidR="006D7438">
        <w:rPr>
          <w:rFonts w:asciiTheme="minorEastAsia" w:eastAsiaTheme="minorEastAsia" w:hAnsiTheme="minorEastAsia"/>
          <w:sz w:val="24"/>
          <w:szCs w:val="24"/>
        </w:rPr>
        <w:t>2</w:t>
      </w:r>
      <w:r w:rsidRPr="00146387">
        <w:rPr>
          <w:rFonts w:asciiTheme="minorEastAsia" w:eastAsiaTheme="minorEastAsia" w:hAnsiTheme="minorEastAsia"/>
          <w:sz w:val="24"/>
          <w:szCs w:val="24"/>
        </w:rPr>
        <w:t>、产品管线体系方面：未来将立足现有产品资源上，以放射性药物精准医疗研发平台为依托，致力于打造诊断、治疗一体化的核素药物全产业链平台，通过创新研发，形成以F标记正电子药物、TC标记单光子药物为代表的影像诊断药物、以云克注射液、I131口服液</w:t>
      </w:r>
      <w:r w:rsidR="006D7438">
        <w:rPr>
          <w:rFonts w:asciiTheme="minorEastAsia" w:eastAsiaTheme="minorEastAsia" w:hAnsiTheme="minorEastAsia" w:hint="eastAsia"/>
          <w:sz w:val="24"/>
          <w:szCs w:val="24"/>
        </w:rPr>
        <w:t>、</w:t>
      </w:r>
      <w:r w:rsidR="006D7438" w:rsidRPr="006D7438">
        <w:rPr>
          <w:rFonts w:asciiTheme="minorEastAsia" w:eastAsiaTheme="minorEastAsia" w:hAnsiTheme="minorEastAsia" w:hint="eastAsia"/>
          <w:sz w:val="24"/>
          <w:szCs w:val="24"/>
          <w:vertAlign w:val="superscript"/>
        </w:rPr>
        <w:t>1</w:t>
      </w:r>
      <w:r w:rsidR="006D7438" w:rsidRPr="006D7438">
        <w:rPr>
          <w:rFonts w:asciiTheme="minorEastAsia" w:eastAsiaTheme="minorEastAsia" w:hAnsiTheme="minorEastAsia"/>
          <w:sz w:val="24"/>
          <w:szCs w:val="24"/>
          <w:vertAlign w:val="superscript"/>
        </w:rPr>
        <w:t>88</w:t>
      </w:r>
      <w:r w:rsidR="006D7438">
        <w:rPr>
          <w:rFonts w:asciiTheme="minorEastAsia" w:eastAsiaTheme="minorEastAsia" w:hAnsiTheme="minorEastAsia" w:hint="eastAsia"/>
          <w:sz w:val="24"/>
          <w:szCs w:val="24"/>
        </w:rPr>
        <w:t>R</w:t>
      </w:r>
      <w:r w:rsidR="006D7438">
        <w:rPr>
          <w:rFonts w:asciiTheme="minorEastAsia" w:eastAsiaTheme="minorEastAsia" w:hAnsiTheme="minorEastAsia"/>
          <w:sz w:val="24"/>
          <w:szCs w:val="24"/>
        </w:rPr>
        <w:t>E-HEDP</w:t>
      </w:r>
      <w:r w:rsidRPr="00146387">
        <w:rPr>
          <w:rFonts w:asciiTheme="minorEastAsia" w:eastAsiaTheme="minorEastAsia" w:hAnsiTheme="minorEastAsia"/>
          <w:sz w:val="24"/>
          <w:szCs w:val="24"/>
        </w:rPr>
        <w:t>为代表的靶向治疗药物，以I125密封籽源为代表的近距离放射治疗药物，以14C/13C为代表早期筛查类药物的</w:t>
      </w:r>
      <w:r w:rsidR="000A2106">
        <w:rPr>
          <w:rFonts w:asciiTheme="minorEastAsia" w:eastAsiaTheme="minorEastAsia" w:hAnsiTheme="minorEastAsia" w:hint="eastAsia"/>
          <w:sz w:val="24"/>
          <w:szCs w:val="24"/>
        </w:rPr>
        <w:t>核医药</w:t>
      </w:r>
      <w:r w:rsidRPr="00146387">
        <w:rPr>
          <w:rFonts w:asciiTheme="minorEastAsia" w:eastAsiaTheme="minorEastAsia" w:hAnsiTheme="minorEastAsia"/>
          <w:sz w:val="24"/>
          <w:szCs w:val="24"/>
        </w:rPr>
        <w:t>全产品体系；</w:t>
      </w:r>
    </w:p>
    <w:p w14:paraId="352B0C99" w14:textId="0B6A5FB0" w:rsidR="00B45DA3" w:rsidRDefault="00146387" w:rsidP="000A2106">
      <w:pPr>
        <w:spacing w:line="360" w:lineRule="auto"/>
        <w:rPr>
          <w:rFonts w:asciiTheme="minorEastAsia" w:eastAsiaTheme="minorEastAsia" w:hAnsiTheme="minorEastAsia"/>
          <w:sz w:val="24"/>
          <w:szCs w:val="24"/>
        </w:rPr>
      </w:pPr>
      <w:r w:rsidRPr="00146387">
        <w:rPr>
          <w:rFonts w:asciiTheme="minorEastAsia" w:eastAsiaTheme="minorEastAsia" w:hAnsiTheme="minorEastAsia"/>
          <w:sz w:val="24"/>
          <w:szCs w:val="24"/>
        </w:rPr>
        <w:t>通过公司多方面的努力，逐步缩短与发达国家的核医药产业发展的差距，</w:t>
      </w:r>
      <w:r w:rsidR="000A2106">
        <w:rPr>
          <w:rFonts w:asciiTheme="minorEastAsia" w:eastAsiaTheme="minorEastAsia" w:hAnsiTheme="minorEastAsia" w:hint="eastAsia"/>
          <w:sz w:val="24"/>
          <w:szCs w:val="24"/>
        </w:rPr>
        <w:t>使更多的核医药产品上市，为患者提供更多的诊疗手段，做中国</w:t>
      </w:r>
      <w:r w:rsidRPr="00146387">
        <w:rPr>
          <w:rFonts w:asciiTheme="minorEastAsia" w:eastAsiaTheme="minorEastAsia" w:hAnsiTheme="minorEastAsia"/>
          <w:sz w:val="24"/>
          <w:szCs w:val="24"/>
        </w:rPr>
        <w:t>核医药企业的引领者。</w:t>
      </w:r>
    </w:p>
    <w:sectPr w:rsidR="00B45D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F9C9" w14:textId="77777777" w:rsidR="00A14334" w:rsidRDefault="00A14334" w:rsidP="006A6F66">
      <w:r>
        <w:separator/>
      </w:r>
    </w:p>
  </w:endnote>
  <w:endnote w:type="continuationSeparator" w:id="0">
    <w:p w14:paraId="15ADE75E" w14:textId="77777777" w:rsidR="00A14334" w:rsidRDefault="00A14334" w:rsidP="006A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55FAD" w14:textId="77777777" w:rsidR="00A14334" w:rsidRDefault="00A14334" w:rsidP="006A6F66">
      <w:r>
        <w:separator/>
      </w:r>
    </w:p>
  </w:footnote>
  <w:footnote w:type="continuationSeparator" w:id="0">
    <w:p w14:paraId="6619023F" w14:textId="77777777" w:rsidR="00A14334" w:rsidRDefault="00A14334" w:rsidP="006A6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13ED"/>
    <w:rsid w:val="00001957"/>
    <w:rsid w:val="00011A15"/>
    <w:rsid w:val="00011FE6"/>
    <w:rsid w:val="000169DC"/>
    <w:rsid w:val="00020818"/>
    <w:rsid w:val="0002585B"/>
    <w:rsid w:val="0002641F"/>
    <w:rsid w:val="00026583"/>
    <w:rsid w:val="00026F60"/>
    <w:rsid w:val="00032AC5"/>
    <w:rsid w:val="00035492"/>
    <w:rsid w:val="00040ACC"/>
    <w:rsid w:val="000441DD"/>
    <w:rsid w:val="000451DE"/>
    <w:rsid w:val="00046ED6"/>
    <w:rsid w:val="00052910"/>
    <w:rsid w:val="000535ED"/>
    <w:rsid w:val="000546CA"/>
    <w:rsid w:val="00057096"/>
    <w:rsid w:val="000629C7"/>
    <w:rsid w:val="00067267"/>
    <w:rsid w:val="00071370"/>
    <w:rsid w:val="00074AC5"/>
    <w:rsid w:val="00081D0A"/>
    <w:rsid w:val="00082913"/>
    <w:rsid w:val="00083296"/>
    <w:rsid w:val="0008398A"/>
    <w:rsid w:val="00095759"/>
    <w:rsid w:val="000A1B2D"/>
    <w:rsid w:val="000A2106"/>
    <w:rsid w:val="000A4382"/>
    <w:rsid w:val="000A68D5"/>
    <w:rsid w:val="000A6F69"/>
    <w:rsid w:val="000B068D"/>
    <w:rsid w:val="000B13F6"/>
    <w:rsid w:val="000C308A"/>
    <w:rsid w:val="000C3DF4"/>
    <w:rsid w:val="000C6595"/>
    <w:rsid w:val="000D3038"/>
    <w:rsid w:val="000D4966"/>
    <w:rsid w:val="000E6942"/>
    <w:rsid w:val="000E6A0B"/>
    <w:rsid w:val="000E6EE4"/>
    <w:rsid w:val="000F4E21"/>
    <w:rsid w:val="001068BB"/>
    <w:rsid w:val="00113D3C"/>
    <w:rsid w:val="00120573"/>
    <w:rsid w:val="00120FDA"/>
    <w:rsid w:val="001250B3"/>
    <w:rsid w:val="00126B2C"/>
    <w:rsid w:val="00131E71"/>
    <w:rsid w:val="00132D7F"/>
    <w:rsid w:val="00136ED0"/>
    <w:rsid w:val="0013753B"/>
    <w:rsid w:val="00141727"/>
    <w:rsid w:val="00143AAE"/>
    <w:rsid w:val="00146387"/>
    <w:rsid w:val="0015524B"/>
    <w:rsid w:val="00160F53"/>
    <w:rsid w:val="00175FC9"/>
    <w:rsid w:val="00184AF0"/>
    <w:rsid w:val="0018588F"/>
    <w:rsid w:val="001944F4"/>
    <w:rsid w:val="00196DCA"/>
    <w:rsid w:val="001B0B00"/>
    <w:rsid w:val="001B37E6"/>
    <w:rsid w:val="001B5DB3"/>
    <w:rsid w:val="001C7ADB"/>
    <w:rsid w:val="001D6599"/>
    <w:rsid w:val="001E35B7"/>
    <w:rsid w:val="001E388C"/>
    <w:rsid w:val="001E42DD"/>
    <w:rsid w:val="001E60BB"/>
    <w:rsid w:val="001F4BDB"/>
    <w:rsid w:val="00201409"/>
    <w:rsid w:val="0020205B"/>
    <w:rsid w:val="002023E9"/>
    <w:rsid w:val="00205C0B"/>
    <w:rsid w:val="00206A5C"/>
    <w:rsid w:val="00210B63"/>
    <w:rsid w:val="002248E8"/>
    <w:rsid w:val="002268C0"/>
    <w:rsid w:val="002328E8"/>
    <w:rsid w:val="00232ABC"/>
    <w:rsid w:val="00232B6E"/>
    <w:rsid w:val="00240A6D"/>
    <w:rsid w:val="00244BD2"/>
    <w:rsid w:val="00251DB9"/>
    <w:rsid w:val="00252106"/>
    <w:rsid w:val="00254487"/>
    <w:rsid w:val="00260E1C"/>
    <w:rsid w:val="00265E9A"/>
    <w:rsid w:val="00273D2E"/>
    <w:rsid w:val="00275664"/>
    <w:rsid w:val="0027611C"/>
    <w:rsid w:val="00277406"/>
    <w:rsid w:val="002852AD"/>
    <w:rsid w:val="002864C5"/>
    <w:rsid w:val="00292EAB"/>
    <w:rsid w:val="00296514"/>
    <w:rsid w:val="002B1EFB"/>
    <w:rsid w:val="002D1133"/>
    <w:rsid w:val="002D36E9"/>
    <w:rsid w:val="002D4EAD"/>
    <w:rsid w:val="002D711B"/>
    <w:rsid w:val="002E2EAA"/>
    <w:rsid w:val="002F4C90"/>
    <w:rsid w:val="002F4CBF"/>
    <w:rsid w:val="002F556C"/>
    <w:rsid w:val="002F60A6"/>
    <w:rsid w:val="003016CE"/>
    <w:rsid w:val="00304664"/>
    <w:rsid w:val="00311632"/>
    <w:rsid w:val="00325CC9"/>
    <w:rsid w:val="0033099A"/>
    <w:rsid w:val="003347CA"/>
    <w:rsid w:val="00337DC5"/>
    <w:rsid w:val="00346E9E"/>
    <w:rsid w:val="003478B1"/>
    <w:rsid w:val="00347B16"/>
    <w:rsid w:val="00360549"/>
    <w:rsid w:val="00363E0C"/>
    <w:rsid w:val="0036473E"/>
    <w:rsid w:val="0036588A"/>
    <w:rsid w:val="00365FE8"/>
    <w:rsid w:val="003666BD"/>
    <w:rsid w:val="00381915"/>
    <w:rsid w:val="003830A4"/>
    <w:rsid w:val="00391F37"/>
    <w:rsid w:val="003B079C"/>
    <w:rsid w:val="003B3464"/>
    <w:rsid w:val="003B5096"/>
    <w:rsid w:val="003B625E"/>
    <w:rsid w:val="003B70A8"/>
    <w:rsid w:val="003C29B1"/>
    <w:rsid w:val="003D1806"/>
    <w:rsid w:val="003D49FA"/>
    <w:rsid w:val="003D6D83"/>
    <w:rsid w:val="003E30A3"/>
    <w:rsid w:val="003E4B8E"/>
    <w:rsid w:val="004007B7"/>
    <w:rsid w:val="004009DE"/>
    <w:rsid w:val="004039F6"/>
    <w:rsid w:val="0040413D"/>
    <w:rsid w:val="00405914"/>
    <w:rsid w:val="00406690"/>
    <w:rsid w:val="0041022D"/>
    <w:rsid w:val="00414DB5"/>
    <w:rsid w:val="00415862"/>
    <w:rsid w:val="00435C33"/>
    <w:rsid w:val="00437385"/>
    <w:rsid w:val="004445EC"/>
    <w:rsid w:val="00445C0A"/>
    <w:rsid w:val="004463A8"/>
    <w:rsid w:val="004469C5"/>
    <w:rsid w:val="00446A0D"/>
    <w:rsid w:val="0045097A"/>
    <w:rsid w:val="004510EF"/>
    <w:rsid w:val="00454019"/>
    <w:rsid w:val="00464548"/>
    <w:rsid w:val="00470698"/>
    <w:rsid w:val="00471575"/>
    <w:rsid w:val="00471F91"/>
    <w:rsid w:val="00472651"/>
    <w:rsid w:val="004770CC"/>
    <w:rsid w:val="00492B3B"/>
    <w:rsid w:val="004B1A77"/>
    <w:rsid w:val="004B1B41"/>
    <w:rsid w:val="004B1D9E"/>
    <w:rsid w:val="004B20B1"/>
    <w:rsid w:val="004C30C6"/>
    <w:rsid w:val="004D3796"/>
    <w:rsid w:val="004D3D35"/>
    <w:rsid w:val="004D55A8"/>
    <w:rsid w:val="004E63F4"/>
    <w:rsid w:val="004F1291"/>
    <w:rsid w:val="004F2F22"/>
    <w:rsid w:val="004F6902"/>
    <w:rsid w:val="00505AA2"/>
    <w:rsid w:val="005122DD"/>
    <w:rsid w:val="005148E5"/>
    <w:rsid w:val="005207BE"/>
    <w:rsid w:val="00521249"/>
    <w:rsid w:val="00521B18"/>
    <w:rsid w:val="00524289"/>
    <w:rsid w:val="005303FD"/>
    <w:rsid w:val="00536E95"/>
    <w:rsid w:val="00537571"/>
    <w:rsid w:val="005430DF"/>
    <w:rsid w:val="0054731B"/>
    <w:rsid w:val="005521FD"/>
    <w:rsid w:val="00552760"/>
    <w:rsid w:val="005554FD"/>
    <w:rsid w:val="00560384"/>
    <w:rsid w:val="00562CDD"/>
    <w:rsid w:val="005667F1"/>
    <w:rsid w:val="00566B7A"/>
    <w:rsid w:val="0057485F"/>
    <w:rsid w:val="00577735"/>
    <w:rsid w:val="0058042B"/>
    <w:rsid w:val="005844EE"/>
    <w:rsid w:val="00594EBD"/>
    <w:rsid w:val="00597D30"/>
    <w:rsid w:val="005A1BC3"/>
    <w:rsid w:val="005A4CE6"/>
    <w:rsid w:val="005A6145"/>
    <w:rsid w:val="005A63BE"/>
    <w:rsid w:val="005B377D"/>
    <w:rsid w:val="005B6FA4"/>
    <w:rsid w:val="005C57E7"/>
    <w:rsid w:val="005D4A3B"/>
    <w:rsid w:val="005D6410"/>
    <w:rsid w:val="005E67BA"/>
    <w:rsid w:val="005E77B8"/>
    <w:rsid w:val="005F0F1A"/>
    <w:rsid w:val="005F2589"/>
    <w:rsid w:val="00610409"/>
    <w:rsid w:val="00617584"/>
    <w:rsid w:val="00617815"/>
    <w:rsid w:val="00621D6F"/>
    <w:rsid w:val="00624D9E"/>
    <w:rsid w:val="00630D20"/>
    <w:rsid w:val="0063123E"/>
    <w:rsid w:val="00634E6B"/>
    <w:rsid w:val="00640419"/>
    <w:rsid w:val="00646544"/>
    <w:rsid w:val="00652528"/>
    <w:rsid w:val="00655427"/>
    <w:rsid w:val="00656A1F"/>
    <w:rsid w:val="0066519C"/>
    <w:rsid w:val="00665754"/>
    <w:rsid w:val="00674B90"/>
    <w:rsid w:val="00675D62"/>
    <w:rsid w:val="006812A7"/>
    <w:rsid w:val="0068371F"/>
    <w:rsid w:val="00685BE4"/>
    <w:rsid w:val="00687B35"/>
    <w:rsid w:val="006913ED"/>
    <w:rsid w:val="0069263B"/>
    <w:rsid w:val="0069790D"/>
    <w:rsid w:val="00697A3A"/>
    <w:rsid w:val="006A5BC9"/>
    <w:rsid w:val="006A6F66"/>
    <w:rsid w:val="006B6608"/>
    <w:rsid w:val="006C1E63"/>
    <w:rsid w:val="006D04DA"/>
    <w:rsid w:val="006D1B3E"/>
    <w:rsid w:val="006D7438"/>
    <w:rsid w:val="006E1626"/>
    <w:rsid w:val="006E5225"/>
    <w:rsid w:val="006F2BE5"/>
    <w:rsid w:val="006F409D"/>
    <w:rsid w:val="006F65F9"/>
    <w:rsid w:val="00702C2A"/>
    <w:rsid w:val="00704F06"/>
    <w:rsid w:val="00705EA6"/>
    <w:rsid w:val="00710021"/>
    <w:rsid w:val="0072374D"/>
    <w:rsid w:val="00735897"/>
    <w:rsid w:val="00736AD6"/>
    <w:rsid w:val="00746DF0"/>
    <w:rsid w:val="00747448"/>
    <w:rsid w:val="00763DFB"/>
    <w:rsid w:val="00767FB0"/>
    <w:rsid w:val="0077525E"/>
    <w:rsid w:val="00785CB0"/>
    <w:rsid w:val="007965FA"/>
    <w:rsid w:val="00796D1F"/>
    <w:rsid w:val="0079701D"/>
    <w:rsid w:val="007976CF"/>
    <w:rsid w:val="007A0958"/>
    <w:rsid w:val="007A44B6"/>
    <w:rsid w:val="007A738F"/>
    <w:rsid w:val="007B5F72"/>
    <w:rsid w:val="007C05CE"/>
    <w:rsid w:val="007C3CC3"/>
    <w:rsid w:val="007C4864"/>
    <w:rsid w:val="007D1F9E"/>
    <w:rsid w:val="007D6877"/>
    <w:rsid w:val="007E1E77"/>
    <w:rsid w:val="007E39F7"/>
    <w:rsid w:val="007E3F89"/>
    <w:rsid w:val="007E4DB8"/>
    <w:rsid w:val="007F37D5"/>
    <w:rsid w:val="007F64FA"/>
    <w:rsid w:val="007F7ABC"/>
    <w:rsid w:val="007F7C8A"/>
    <w:rsid w:val="00806256"/>
    <w:rsid w:val="00806830"/>
    <w:rsid w:val="00807FEE"/>
    <w:rsid w:val="008147B7"/>
    <w:rsid w:val="00817750"/>
    <w:rsid w:val="00824CEC"/>
    <w:rsid w:val="008276BE"/>
    <w:rsid w:val="008312F2"/>
    <w:rsid w:val="00835771"/>
    <w:rsid w:val="00836081"/>
    <w:rsid w:val="008368D7"/>
    <w:rsid w:val="00837FF2"/>
    <w:rsid w:val="00843230"/>
    <w:rsid w:val="0084378F"/>
    <w:rsid w:val="008513C0"/>
    <w:rsid w:val="0086160A"/>
    <w:rsid w:val="00863888"/>
    <w:rsid w:val="00864E23"/>
    <w:rsid w:val="00882E53"/>
    <w:rsid w:val="0088671F"/>
    <w:rsid w:val="00892975"/>
    <w:rsid w:val="008A0406"/>
    <w:rsid w:val="008A373B"/>
    <w:rsid w:val="008A38ED"/>
    <w:rsid w:val="008A5EC6"/>
    <w:rsid w:val="008A7301"/>
    <w:rsid w:val="008A75ED"/>
    <w:rsid w:val="008B1342"/>
    <w:rsid w:val="008B1CC0"/>
    <w:rsid w:val="008B2FB0"/>
    <w:rsid w:val="008B45F6"/>
    <w:rsid w:val="008B673D"/>
    <w:rsid w:val="008B7FBF"/>
    <w:rsid w:val="008C12F9"/>
    <w:rsid w:val="008C1B4F"/>
    <w:rsid w:val="008C372F"/>
    <w:rsid w:val="008C430F"/>
    <w:rsid w:val="008D5FE4"/>
    <w:rsid w:val="008E00F5"/>
    <w:rsid w:val="008E4DF4"/>
    <w:rsid w:val="008E59D8"/>
    <w:rsid w:val="008E7A9D"/>
    <w:rsid w:val="008F05E1"/>
    <w:rsid w:val="008F53C8"/>
    <w:rsid w:val="008F6291"/>
    <w:rsid w:val="009043CC"/>
    <w:rsid w:val="0090710E"/>
    <w:rsid w:val="0091118B"/>
    <w:rsid w:val="0091164D"/>
    <w:rsid w:val="009134AB"/>
    <w:rsid w:val="009143FF"/>
    <w:rsid w:val="009144F3"/>
    <w:rsid w:val="00915F3E"/>
    <w:rsid w:val="0091777A"/>
    <w:rsid w:val="009209A1"/>
    <w:rsid w:val="009318A2"/>
    <w:rsid w:val="00935B95"/>
    <w:rsid w:val="00943F47"/>
    <w:rsid w:val="00950FFB"/>
    <w:rsid w:val="00956C2B"/>
    <w:rsid w:val="00957DA2"/>
    <w:rsid w:val="009620B0"/>
    <w:rsid w:val="009620E9"/>
    <w:rsid w:val="00970C51"/>
    <w:rsid w:val="009763A7"/>
    <w:rsid w:val="00977AE2"/>
    <w:rsid w:val="00981C44"/>
    <w:rsid w:val="009955A4"/>
    <w:rsid w:val="009A1B3E"/>
    <w:rsid w:val="009A2F94"/>
    <w:rsid w:val="009A4196"/>
    <w:rsid w:val="009B3BDE"/>
    <w:rsid w:val="009B722C"/>
    <w:rsid w:val="009C01F5"/>
    <w:rsid w:val="009C0E6C"/>
    <w:rsid w:val="009C67E8"/>
    <w:rsid w:val="009D4A14"/>
    <w:rsid w:val="009D4BE3"/>
    <w:rsid w:val="009D5B8D"/>
    <w:rsid w:val="009F1330"/>
    <w:rsid w:val="009F2B56"/>
    <w:rsid w:val="009F361D"/>
    <w:rsid w:val="009F5723"/>
    <w:rsid w:val="009F573A"/>
    <w:rsid w:val="009F6C04"/>
    <w:rsid w:val="00A000C8"/>
    <w:rsid w:val="00A01962"/>
    <w:rsid w:val="00A02B18"/>
    <w:rsid w:val="00A0329F"/>
    <w:rsid w:val="00A074FA"/>
    <w:rsid w:val="00A07EEE"/>
    <w:rsid w:val="00A1086F"/>
    <w:rsid w:val="00A110C7"/>
    <w:rsid w:val="00A14334"/>
    <w:rsid w:val="00A14B1D"/>
    <w:rsid w:val="00A166AF"/>
    <w:rsid w:val="00A201B5"/>
    <w:rsid w:val="00A218AC"/>
    <w:rsid w:val="00A32266"/>
    <w:rsid w:val="00A3775C"/>
    <w:rsid w:val="00A3783E"/>
    <w:rsid w:val="00A42BA3"/>
    <w:rsid w:val="00A5068F"/>
    <w:rsid w:val="00A51BE5"/>
    <w:rsid w:val="00A56F29"/>
    <w:rsid w:val="00A6150F"/>
    <w:rsid w:val="00A6749C"/>
    <w:rsid w:val="00A71E72"/>
    <w:rsid w:val="00A71EBF"/>
    <w:rsid w:val="00A7466D"/>
    <w:rsid w:val="00A77B20"/>
    <w:rsid w:val="00A80254"/>
    <w:rsid w:val="00A80C23"/>
    <w:rsid w:val="00A815BE"/>
    <w:rsid w:val="00A84388"/>
    <w:rsid w:val="00A86205"/>
    <w:rsid w:val="00A941E4"/>
    <w:rsid w:val="00AB34E5"/>
    <w:rsid w:val="00AB5146"/>
    <w:rsid w:val="00AB71DB"/>
    <w:rsid w:val="00AC0A12"/>
    <w:rsid w:val="00AC0C25"/>
    <w:rsid w:val="00AC3CF2"/>
    <w:rsid w:val="00AC3E5E"/>
    <w:rsid w:val="00AC44CD"/>
    <w:rsid w:val="00AD01F1"/>
    <w:rsid w:val="00AD349E"/>
    <w:rsid w:val="00AD3C37"/>
    <w:rsid w:val="00AD7C61"/>
    <w:rsid w:val="00AF06C1"/>
    <w:rsid w:val="00AF3BBA"/>
    <w:rsid w:val="00AF41DC"/>
    <w:rsid w:val="00AF7D4A"/>
    <w:rsid w:val="00B13374"/>
    <w:rsid w:val="00B13DC8"/>
    <w:rsid w:val="00B14EB1"/>
    <w:rsid w:val="00B245C1"/>
    <w:rsid w:val="00B26671"/>
    <w:rsid w:val="00B270FB"/>
    <w:rsid w:val="00B31AED"/>
    <w:rsid w:val="00B3540B"/>
    <w:rsid w:val="00B37E4C"/>
    <w:rsid w:val="00B45DA3"/>
    <w:rsid w:val="00B52D98"/>
    <w:rsid w:val="00B642F2"/>
    <w:rsid w:val="00B654BB"/>
    <w:rsid w:val="00B67DB2"/>
    <w:rsid w:val="00B70F5F"/>
    <w:rsid w:val="00B7372F"/>
    <w:rsid w:val="00B7516A"/>
    <w:rsid w:val="00B842BB"/>
    <w:rsid w:val="00B85FE5"/>
    <w:rsid w:val="00B937F5"/>
    <w:rsid w:val="00B9395C"/>
    <w:rsid w:val="00B9612B"/>
    <w:rsid w:val="00B96FF1"/>
    <w:rsid w:val="00BA1322"/>
    <w:rsid w:val="00BA2769"/>
    <w:rsid w:val="00BA5965"/>
    <w:rsid w:val="00BA7D96"/>
    <w:rsid w:val="00BB2028"/>
    <w:rsid w:val="00BB2F42"/>
    <w:rsid w:val="00BC1D2F"/>
    <w:rsid w:val="00BD5319"/>
    <w:rsid w:val="00BF12FC"/>
    <w:rsid w:val="00BF2180"/>
    <w:rsid w:val="00BF39B0"/>
    <w:rsid w:val="00BF5158"/>
    <w:rsid w:val="00C01C6D"/>
    <w:rsid w:val="00C069EE"/>
    <w:rsid w:val="00C25931"/>
    <w:rsid w:val="00C378DD"/>
    <w:rsid w:val="00C37BF7"/>
    <w:rsid w:val="00C37D88"/>
    <w:rsid w:val="00C4747D"/>
    <w:rsid w:val="00C522D4"/>
    <w:rsid w:val="00C53AA8"/>
    <w:rsid w:val="00C611E0"/>
    <w:rsid w:val="00C67831"/>
    <w:rsid w:val="00C709EE"/>
    <w:rsid w:val="00C77C0C"/>
    <w:rsid w:val="00C84B8F"/>
    <w:rsid w:val="00C93363"/>
    <w:rsid w:val="00CA2C06"/>
    <w:rsid w:val="00CA4937"/>
    <w:rsid w:val="00CB451C"/>
    <w:rsid w:val="00CB5854"/>
    <w:rsid w:val="00CC4E28"/>
    <w:rsid w:val="00CD03DF"/>
    <w:rsid w:val="00CD4276"/>
    <w:rsid w:val="00CE1E11"/>
    <w:rsid w:val="00CE39C2"/>
    <w:rsid w:val="00CF0F25"/>
    <w:rsid w:val="00CF58B8"/>
    <w:rsid w:val="00CF6195"/>
    <w:rsid w:val="00CF72CB"/>
    <w:rsid w:val="00D002EA"/>
    <w:rsid w:val="00D058C1"/>
    <w:rsid w:val="00D0672B"/>
    <w:rsid w:val="00D06BFF"/>
    <w:rsid w:val="00D157D2"/>
    <w:rsid w:val="00D239D0"/>
    <w:rsid w:val="00D25276"/>
    <w:rsid w:val="00D274BD"/>
    <w:rsid w:val="00D31739"/>
    <w:rsid w:val="00D325B0"/>
    <w:rsid w:val="00D334DA"/>
    <w:rsid w:val="00D37242"/>
    <w:rsid w:val="00D37DF7"/>
    <w:rsid w:val="00D43441"/>
    <w:rsid w:val="00D50D0E"/>
    <w:rsid w:val="00D52736"/>
    <w:rsid w:val="00D6158A"/>
    <w:rsid w:val="00D616C1"/>
    <w:rsid w:val="00D6179B"/>
    <w:rsid w:val="00D67B3B"/>
    <w:rsid w:val="00D71583"/>
    <w:rsid w:val="00D93EE4"/>
    <w:rsid w:val="00D94617"/>
    <w:rsid w:val="00D977FB"/>
    <w:rsid w:val="00DB273C"/>
    <w:rsid w:val="00DB5B9F"/>
    <w:rsid w:val="00DC12AD"/>
    <w:rsid w:val="00DC17D9"/>
    <w:rsid w:val="00DD1CC9"/>
    <w:rsid w:val="00DD2A0A"/>
    <w:rsid w:val="00DD436F"/>
    <w:rsid w:val="00DE1EBF"/>
    <w:rsid w:val="00DE336C"/>
    <w:rsid w:val="00DE4A48"/>
    <w:rsid w:val="00DE60AE"/>
    <w:rsid w:val="00DE70CA"/>
    <w:rsid w:val="00DE7A9A"/>
    <w:rsid w:val="00DF5ED5"/>
    <w:rsid w:val="00DF7345"/>
    <w:rsid w:val="00E05D39"/>
    <w:rsid w:val="00E06D07"/>
    <w:rsid w:val="00E07D3E"/>
    <w:rsid w:val="00E105F8"/>
    <w:rsid w:val="00E301FA"/>
    <w:rsid w:val="00E33AE2"/>
    <w:rsid w:val="00E4209E"/>
    <w:rsid w:val="00E44FD4"/>
    <w:rsid w:val="00E51AE8"/>
    <w:rsid w:val="00E528DD"/>
    <w:rsid w:val="00E52B5A"/>
    <w:rsid w:val="00E54AE8"/>
    <w:rsid w:val="00E568CF"/>
    <w:rsid w:val="00E65DB1"/>
    <w:rsid w:val="00E71792"/>
    <w:rsid w:val="00E729CF"/>
    <w:rsid w:val="00E730D5"/>
    <w:rsid w:val="00E759AA"/>
    <w:rsid w:val="00E7757C"/>
    <w:rsid w:val="00E8065B"/>
    <w:rsid w:val="00E81E57"/>
    <w:rsid w:val="00E8328A"/>
    <w:rsid w:val="00E87593"/>
    <w:rsid w:val="00E92EAB"/>
    <w:rsid w:val="00E954E9"/>
    <w:rsid w:val="00E95D65"/>
    <w:rsid w:val="00E97613"/>
    <w:rsid w:val="00EA5CC0"/>
    <w:rsid w:val="00EB10D7"/>
    <w:rsid w:val="00EB1D76"/>
    <w:rsid w:val="00EC1DC4"/>
    <w:rsid w:val="00EC3A77"/>
    <w:rsid w:val="00EC54F3"/>
    <w:rsid w:val="00ED1C76"/>
    <w:rsid w:val="00EF215D"/>
    <w:rsid w:val="00EF2E5E"/>
    <w:rsid w:val="00EF5E20"/>
    <w:rsid w:val="00F00039"/>
    <w:rsid w:val="00F0147D"/>
    <w:rsid w:val="00F1234F"/>
    <w:rsid w:val="00F24BDD"/>
    <w:rsid w:val="00F25BB4"/>
    <w:rsid w:val="00F27611"/>
    <w:rsid w:val="00F309A4"/>
    <w:rsid w:val="00F374AF"/>
    <w:rsid w:val="00F4485C"/>
    <w:rsid w:val="00F44C36"/>
    <w:rsid w:val="00F44E5F"/>
    <w:rsid w:val="00F46062"/>
    <w:rsid w:val="00F5322C"/>
    <w:rsid w:val="00F54E06"/>
    <w:rsid w:val="00F6647E"/>
    <w:rsid w:val="00F6687D"/>
    <w:rsid w:val="00F6707E"/>
    <w:rsid w:val="00F70116"/>
    <w:rsid w:val="00F72B2B"/>
    <w:rsid w:val="00F7308A"/>
    <w:rsid w:val="00F73EE1"/>
    <w:rsid w:val="00F84B15"/>
    <w:rsid w:val="00F85FC0"/>
    <w:rsid w:val="00F87CB7"/>
    <w:rsid w:val="00F9102E"/>
    <w:rsid w:val="00F93715"/>
    <w:rsid w:val="00F978FA"/>
    <w:rsid w:val="00FA3127"/>
    <w:rsid w:val="00FB080A"/>
    <w:rsid w:val="00FB280C"/>
    <w:rsid w:val="00FB3DC3"/>
    <w:rsid w:val="00FC4306"/>
    <w:rsid w:val="00FC49E8"/>
    <w:rsid w:val="00FC5657"/>
    <w:rsid w:val="00FD1EE2"/>
    <w:rsid w:val="00FD47CD"/>
    <w:rsid w:val="00FD77DD"/>
    <w:rsid w:val="00FE0F74"/>
    <w:rsid w:val="00FF20EC"/>
    <w:rsid w:val="56BF3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8EDD6"/>
  <w15:docId w15:val="{9E3AEB55-348E-47AE-A5FF-DD08D2BB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4">
    <w:name w:val="heading 4"/>
    <w:basedOn w:val="a"/>
    <w:next w:val="a"/>
    <w:link w:val="40"/>
    <w:uiPriority w:val="9"/>
    <w:qFormat/>
    <w:pPr>
      <w:keepNext/>
      <w:keepLines/>
      <w:adjustRightInd w:val="0"/>
      <w:snapToGrid w:val="0"/>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d">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
    <w:name w:val="列表段落1"/>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ae">
    <w:name w:val="招股正文"/>
    <w:link w:val="Char"/>
    <w:qFormat/>
    <w:pPr>
      <w:widowControl w:val="0"/>
      <w:adjustRightInd w:val="0"/>
      <w:snapToGrid w:val="0"/>
      <w:spacing w:line="360" w:lineRule="auto"/>
      <w:ind w:firstLineChars="200" w:firstLine="200"/>
      <w:jc w:val="both"/>
    </w:pPr>
    <w:rPr>
      <w:rFonts w:ascii="宋体" w:eastAsia="宋体" w:hAnsi="宋体" w:cs="Times New Roman"/>
      <w:sz w:val="24"/>
      <w:szCs w:val="22"/>
    </w:rPr>
  </w:style>
  <w:style w:type="character" w:customStyle="1" w:styleId="Char">
    <w:name w:val="招股正文 Char"/>
    <w:link w:val="ae"/>
    <w:qFormat/>
    <w:rPr>
      <w:rFonts w:ascii="宋体" w:eastAsia="宋体" w:hAnsi="宋体" w:cs="Times New Roman"/>
      <w:kern w:val="0"/>
      <w:sz w:val="24"/>
    </w:rPr>
  </w:style>
  <w:style w:type="character" w:customStyle="1" w:styleId="40">
    <w:name w:val="标题 4 字符"/>
    <w:basedOn w:val="a0"/>
    <w:link w:val="4"/>
    <w:uiPriority w:val="9"/>
    <w:qFormat/>
    <w:rPr>
      <w:rFonts w:ascii="Cambria" w:eastAsia="宋体" w:hAnsi="Cambria" w:cs="Times New Roman"/>
      <w:b/>
      <w:bCs/>
      <w:sz w:val="28"/>
      <w:szCs w:val="28"/>
    </w:rPr>
  </w:style>
  <w:style w:type="character" w:customStyle="1" w:styleId="a6">
    <w:name w:val="批注文字 字符"/>
    <w:basedOn w:val="a0"/>
    <w:link w:val="a4"/>
    <w:uiPriority w:val="99"/>
    <w:semiHidden/>
    <w:qFormat/>
    <w:rPr>
      <w:rFonts w:ascii="Times New Roman" w:eastAsia="宋体" w:hAnsi="Times New Roman" w:cs="Times New Roman"/>
      <w:szCs w:val="20"/>
    </w:rPr>
  </w:style>
  <w:style w:type="character" w:customStyle="1" w:styleId="a5">
    <w:name w:val="批注主题 字符"/>
    <w:basedOn w:val="a6"/>
    <w:link w:val="a3"/>
    <w:uiPriority w:val="99"/>
    <w:semiHidden/>
    <w:qFormat/>
    <w:rPr>
      <w:rFonts w:ascii="Times New Roman" w:eastAsia="宋体" w:hAnsi="Times New Roman" w:cs="Times New Roman"/>
      <w:b/>
      <w:bCs/>
      <w:szCs w:val="20"/>
    </w:rPr>
  </w:style>
  <w:style w:type="paragraph" w:customStyle="1" w:styleId="HCSTYLESUMMARYCONTENT">
    <w:name w:val="HC_STYLE_SUMMARY_CONTENT"/>
    <w:qFormat/>
    <w:pPr>
      <w:widowControl w:val="0"/>
      <w:spacing w:afterLines="20"/>
      <w:jc w:val="both"/>
    </w:pPr>
    <w:rPr>
      <w:rFonts w:ascii="Arial" w:eastAsia="宋体" w:hAnsi="Arial" w:cs="Times New Roman"/>
      <w:color w:val="0C345C"/>
      <w:kern w:val="2"/>
      <w:szCs w:val="22"/>
    </w:rPr>
  </w:style>
  <w:style w:type="paragraph" w:customStyle="1" w:styleId="HCSTYTLECONTENTCONTENT">
    <w:name w:val="HC_STYTLE_CONTENT_CONTENT"/>
    <w:qFormat/>
    <w:pPr>
      <w:widowControl w:val="0"/>
      <w:spacing w:beforeLines="50" w:afterLines="50"/>
      <w:jc w:val="both"/>
    </w:pPr>
    <w:rPr>
      <w:rFonts w:ascii="Arial" w:eastAsia="宋体" w:hAnsi="Arial" w:cs="Times New Roman"/>
      <w:bCs/>
      <w:color w:val="0C345C"/>
      <w:kern w:val="44"/>
      <w:sz w:val="21"/>
      <w:szCs w:val="44"/>
    </w:rPr>
  </w:style>
  <w:style w:type="paragraph" w:styleId="af">
    <w:name w:val="Normal (Web)"/>
    <w:basedOn w:val="a"/>
    <w:uiPriority w:val="99"/>
    <w:semiHidden/>
    <w:unhideWhenUsed/>
    <w:rsid w:val="00C2593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0729">
      <w:bodyDiv w:val="1"/>
      <w:marLeft w:val="0"/>
      <w:marRight w:val="0"/>
      <w:marTop w:val="0"/>
      <w:marBottom w:val="0"/>
      <w:divBdr>
        <w:top w:val="none" w:sz="0" w:space="0" w:color="auto"/>
        <w:left w:val="none" w:sz="0" w:space="0" w:color="auto"/>
        <w:bottom w:val="none" w:sz="0" w:space="0" w:color="auto"/>
        <w:right w:val="none" w:sz="0" w:space="0" w:color="auto"/>
      </w:divBdr>
    </w:div>
    <w:div w:id="243759140">
      <w:bodyDiv w:val="1"/>
      <w:marLeft w:val="0"/>
      <w:marRight w:val="0"/>
      <w:marTop w:val="0"/>
      <w:marBottom w:val="0"/>
      <w:divBdr>
        <w:top w:val="none" w:sz="0" w:space="0" w:color="auto"/>
        <w:left w:val="none" w:sz="0" w:space="0" w:color="auto"/>
        <w:bottom w:val="none" w:sz="0" w:space="0" w:color="auto"/>
        <w:right w:val="none" w:sz="0" w:space="0" w:color="auto"/>
      </w:divBdr>
    </w:div>
    <w:div w:id="645857991">
      <w:bodyDiv w:val="1"/>
      <w:marLeft w:val="0"/>
      <w:marRight w:val="0"/>
      <w:marTop w:val="0"/>
      <w:marBottom w:val="0"/>
      <w:divBdr>
        <w:top w:val="none" w:sz="0" w:space="0" w:color="auto"/>
        <w:left w:val="none" w:sz="0" w:space="0" w:color="auto"/>
        <w:bottom w:val="none" w:sz="0" w:space="0" w:color="auto"/>
        <w:right w:val="none" w:sz="0" w:space="0" w:color="auto"/>
      </w:divBdr>
    </w:div>
    <w:div w:id="2126264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74BB7B5-0EF1-4FEA-A752-23302AC2DC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421</Words>
  <Characters>2406</Characters>
  <Application>Microsoft Office Word</Application>
  <DocSecurity>0</DocSecurity>
  <Lines>20</Lines>
  <Paragraphs>5</Paragraphs>
  <ScaleCrop>false</ScaleCrop>
  <Company>Microsoft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王永辉</dc:creator>
  <cp:lastModifiedBy>李季</cp:lastModifiedBy>
  <cp:revision>228</cp:revision>
  <cp:lastPrinted>2020-03-17T16:50:00Z</cp:lastPrinted>
  <dcterms:created xsi:type="dcterms:W3CDTF">2017-08-16T17:55:00Z</dcterms:created>
  <dcterms:modified xsi:type="dcterms:W3CDTF">2020-06-18T08:26:00Z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