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583F1" w14:textId="77777777" w:rsidR="00A54DA5" w:rsidRPr="00C81363" w:rsidRDefault="00843759" w:rsidP="00C81363">
      <w:pPr>
        <w:spacing w:after="220"/>
        <w:rPr>
          <w:rFonts w:eastAsiaTheme="minorEastAsia"/>
        </w:rPr>
      </w:pPr>
      <w:r>
        <w:rPr>
          <w:rFonts w:ascii="宋体" w:eastAsia="宋体" w:hAnsi="宋体" w:cs="宋体"/>
          <w:sz w:val="24"/>
        </w:rPr>
        <w:t>证券代码：</w:t>
      </w:r>
      <w:r>
        <w:rPr>
          <w:rFonts w:ascii="宋体" w:eastAsia="宋体" w:hAnsi="宋体" w:cs="宋体" w:hint="eastAsia"/>
          <w:sz w:val="24"/>
        </w:rPr>
        <w:t>68800</w:t>
      </w:r>
      <w:r w:rsidR="00F14E77">
        <w:rPr>
          <w:rFonts w:ascii="宋体" w:eastAsia="宋体" w:hAnsi="宋体" w:cs="宋体" w:hint="eastAsia"/>
          <w:sz w:val="24"/>
        </w:rPr>
        <w:t>6</w:t>
      </w:r>
      <w:r>
        <w:rPr>
          <w:rFonts w:ascii="宋体" w:eastAsia="宋体" w:hAnsi="宋体" w:cs="宋体"/>
          <w:sz w:val="24"/>
        </w:rPr>
        <w:t xml:space="preserve">                                   </w:t>
      </w:r>
      <w:r w:rsidR="00595828">
        <w:rPr>
          <w:rFonts w:ascii="宋体" w:eastAsia="宋体" w:hAnsi="宋体" w:cs="宋体"/>
          <w:sz w:val="24"/>
        </w:rPr>
        <w:t>证券简称：</w:t>
      </w:r>
      <w:r w:rsidR="00F14E77">
        <w:rPr>
          <w:rFonts w:ascii="宋体" w:eastAsia="宋体" w:hAnsi="宋体" w:cs="宋体" w:hint="eastAsia"/>
          <w:sz w:val="24"/>
        </w:rPr>
        <w:t>杭可科技</w:t>
      </w:r>
      <w:r w:rsidR="00595828">
        <w:rPr>
          <w:rFonts w:ascii="宋体" w:eastAsia="宋体" w:hAnsi="宋体" w:cs="宋体" w:hint="eastAsia"/>
          <w:sz w:val="24"/>
        </w:rPr>
        <w:t xml:space="preserve"> </w:t>
      </w:r>
      <w:r w:rsidR="00595828">
        <w:rPr>
          <w:rFonts w:ascii="宋体" w:eastAsia="宋体" w:hAnsi="宋体" w:cs="宋体"/>
          <w:sz w:val="24"/>
        </w:rPr>
        <w:t xml:space="preserve">       </w:t>
      </w:r>
      <w:r w:rsidR="00E0201F">
        <w:rPr>
          <w:rFonts w:ascii="宋体" w:eastAsia="宋体" w:hAnsi="宋体" w:cs="宋体"/>
          <w:sz w:val="24"/>
        </w:rPr>
        <w:t xml:space="preserve">     </w:t>
      </w:r>
      <w:r w:rsidR="00595828">
        <w:rPr>
          <w:rFonts w:ascii="宋体" w:eastAsia="宋体" w:hAnsi="宋体" w:cs="宋体"/>
          <w:sz w:val="24"/>
        </w:rPr>
        <w:t xml:space="preserve">                     </w:t>
      </w:r>
      <w:r w:rsidR="00E0201F">
        <w:rPr>
          <w:rFonts w:ascii="宋体" w:eastAsia="宋体" w:hAnsi="宋体" w:cs="宋体"/>
          <w:sz w:val="24"/>
        </w:rPr>
        <w:t xml:space="preserve">        </w:t>
      </w:r>
    </w:p>
    <w:p w14:paraId="3C238E17" w14:textId="77777777" w:rsidR="00BE6EB3" w:rsidRPr="00595828" w:rsidRDefault="00F14E77" w:rsidP="00F14E77">
      <w:pPr>
        <w:spacing w:after="0"/>
        <w:jc w:val="center"/>
        <w:rPr>
          <w:rFonts w:ascii="宋体" w:eastAsia="宋体" w:hAnsi="宋体" w:cs="宋体"/>
          <w:b/>
          <w:sz w:val="32"/>
        </w:rPr>
      </w:pPr>
      <w:r>
        <w:rPr>
          <w:rFonts w:ascii="宋体" w:eastAsia="宋体" w:hAnsi="宋体" w:cs="宋体" w:hint="eastAsia"/>
          <w:b/>
          <w:sz w:val="32"/>
        </w:rPr>
        <w:t>浙江杭可</w:t>
      </w:r>
      <w:r w:rsidR="00E0201F" w:rsidRPr="00595828">
        <w:rPr>
          <w:rFonts w:ascii="宋体" w:eastAsia="宋体" w:hAnsi="宋体" w:cs="宋体"/>
          <w:b/>
          <w:sz w:val="32"/>
        </w:rPr>
        <w:t>科技股份有限公司投资者关系活动记录表</w:t>
      </w:r>
    </w:p>
    <w:p w14:paraId="3B0EE485" w14:textId="7A9574A3" w:rsidR="00A54DA5" w:rsidRDefault="00E0201F">
      <w:pPr>
        <w:spacing w:after="0"/>
        <w:ind w:left="1179"/>
        <w:jc w:val="right"/>
      </w:pPr>
      <w:r>
        <w:rPr>
          <w:rFonts w:ascii="宋体" w:eastAsia="宋体" w:hAnsi="宋体" w:cs="宋体"/>
          <w:sz w:val="21"/>
        </w:rPr>
        <w:t xml:space="preserve">编号： </w:t>
      </w:r>
      <w:r w:rsidR="00843759">
        <w:rPr>
          <w:rFonts w:ascii="宋体" w:eastAsia="宋体" w:hAnsi="宋体" w:cs="宋体"/>
          <w:sz w:val="21"/>
        </w:rPr>
        <w:t>20</w:t>
      </w:r>
      <w:r w:rsidR="00AE3476">
        <w:rPr>
          <w:rFonts w:ascii="宋体" w:eastAsia="宋体" w:hAnsi="宋体" w:cs="宋体" w:hint="eastAsia"/>
          <w:sz w:val="21"/>
        </w:rPr>
        <w:t>20</w:t>
      </w:r>
      <w:r w:rsidR="00843759">
        <w:rPr>
          <w:rFonts w:ascii="宋体" w:eastAsia="宋体" w:hAnsi="宋体" w:cs="宋体" w:hint="eastAsia"/>
          <w:sz w:val="21"/>
        </w:rPr>
        <w:t>-</w:t>
      </w:r>
      <w:r w:rsidR="00843759">
        <w:rPr>
          <w:rFonts w:ascii="宋体" w:eastAsia="宋体" w:hAnsi="宋体" w:cs="宋体"/>
          <w:sz w:val="21"/>
        </w:rPr>
        <w:t>00</w:t>
      </w:r>
      <w:r w:rsidR="008416E3">
        <w:rPr>
          <w:rFonts w:ascii="宋体" w:eastAsia="宋体" w:hAnsi="宋体" w:cs="宋体" w:hint="eastAsia"/>
          <w:sz w:val="21"/>
        </w:rPr>
        <w:t>3</w:t>
      </w:r>
    </w:p>
    <w:tbl>
      <w:tblPr>
        <w:tblStyle w:val="TableGrid"/>
        <w:tblW w:w="9976" w:type="dxa"/>
        <w:jc w:val="center"/>
        <w:tblInd w:w="0" w:type="dxa"/>
        <w:tblCellMar>
          <w:left w:w="108" w:type="dxa"/>
          <w:bottom w:w="41" w:type="dxa"/>
        </w:tblCellMar>
        <w:tblLook w:val="04A0" w:firstRow="1" w:lastRow="0" w:firstColumn="1" w:lastColumn="0" w:noHBand="0" w:noVBand="1"/>
      </w:tblPr>
      <w:tblGrid>
        <w:gridCol w:w="2100"/>
        <w:gridCol w:w="7876"/>
      </w:tblGrid>
      <w:tr w:rsidR="00A54DA5" w:rsidRPr="00843759" w14:paraId="7BDC1A1F" w14:textId="77777777" w:rsidTr="009C480E">
        <w:trPr>
          <w:trHeight w:val="2292"/>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56185D4" w14:textId="77777777" w:rsidR="00A54DA5" w:rsidRPr="00843759" w:rsidRDefault="00E0201F" w:rsidP="00843759">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876" w:type="dxa"/>
            <w:tcBorders>
              <w:top w:val="single" w:sz="4" w:space="0" w:color="000000"/>
              <w:left w:val="single" w:sz="4" w:space="0" w:color="000000"/>
              <w:bottom w:val="single" w:sz="4" w:space="0" w:color="000000"/>
              <w:right w:val="single" w:sz="4" w:space="0" w:color="000000"/>
            </w:tcBorders>
            <w:vAlign w:val="bottom"/>
          </w:tcPr>
          <w:p w14:paraId="4957E2BE" w14:textId="77777777" w:rsidR="00A54DA5" w:rsidRPr="00843759" w:rsidRDefault="00843759" w:rsidP="00843759">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E0201F" w:rsidRPr="00843759">
              <w:rPr>
                <w:rFonts w:ascii="宋体" w:eastAsia="宋体" w:hAnsi="宋体" w:cs="宋体"/>
                <w:sz w:val="24"/>
                <w:szCs w:val="24"/>
              </w:rPr>
              <w:t xml:space="preserve">特定对象调研        □分析师会议 </w:t>
            </w:r>
          </w:p>
          <w:p w14:paraId="4BA26CDD"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□媒体采访            □业绩说明会 </w:t>
            </w:r>
          </w:p>
          <w:p w14:paraId="31372BF5"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□路演活动 </w:t>
            </w:r>
          </w:p>
          <w:p w14:paraId="2C9E2F65"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□现场参观            </w:t>
            </w:r>
            <w:r w:rsidRPr="0026533B">
              <w:rPr>
                <w:rFonts w:ascii="宋体" w:eastAsia="宋体" w:hAnsi="宋体" w:cs="宋体"/>
                <w:color w:val="000000" w:themeColor="text1"/>
                <w:sz w:val="24"/>
                <w:szCs w:val="24"/>
              </w:rPr>
              <w:t>□</w:t>
            </w:r>
            <w:r w:rsidRPr="00843759">
              <w:rPr>
                <w:rFonts w:ascii="宋体" w:eastAsia="宋体" w:hAnsi="宋体" w:cs="宋体"/>
                <w:sz w:val="24"/>
                <w:szCs w:val="24"/>
              </w:rPr>
              <w:t xml:space="preserve">一对一沟通 </w:t>
            </w:r>
          </w:p>
          <w:p w14:paraId="4B8D03EB" w14:textId="77777777" w:rsidR="00A54DA5" w:rsidRPr="00843759" w:rsidRDefault="00BE6EB3"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E0201F" w:rsidRPr="00843759">
              <w:rPr>
                <w:rFonts w:ascii="宋体" w:eastAsia="宋体" w:hAnsi="宋体" w:cs="宋体"/>
                <w:sz w:val="24"/>
                <w:szCs w:val="24"/>
              </w:rPr>
              <w:t xml:space="preserve">其他  </w:t>
            </w:r>
          </w:p>
        </w:tc>
      </w:tr>
      <w:tr w:rsidR="00A54DA5" w:rsidRPr="00843759" w14:paraId="4477EA4A" w14:textId="77777777" w:rsidTr="002704C2">
        <w:trPr>
          <w:trHeight w:val="2029"/>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5E3099A"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A3216">
              <w:rPr>
                <w:rFonts w:ascii="宋体" w:eastAsia="宋体" w:hAnsi="宋体" w:cs="宋体"/>
                <w:b/>
                <w:color w:val="auto"/>
                <w:sz w:val="24"/>
                <w:szCs w:val="24"/>
              </w:rPr>
              <w:t>参与单位</w:t>
            </w:r>
            <w:r w:rsidR="00595828" w:rsidRPr="008A3216">
              <w:rPr>
                <w:rFonts w:ascii="宋体" w:eastAsia="宋体" w:hAnsi="宋体" w:cs="宋体" w:hint="eastAsia"/>
                <w:b/>
                <w:color w:val="auto"/>
                <w:sz w:val="24"/>
                <w:szCs w:val="24"/>
              </w:rPr>
              <w:t>及人员</w:t>
            </w:r>
          </w:p>
        </w:tc>
        <w:tc>
          <w:tcPr>
            <w:tcW w:w="7876" w:type="dxa"/>
            <w:tcBorders>
              <w:top w:val="single" w:sz="4" w:space="0" w:color="000000"/>
              <w:left w:val="single" w:sz="4" w:space="0" w:color="000000"/>
              <w:bottom w:val="single" w:sz="4" w:space="0" w:color="000000"/>
              <w:right w:val="single" w:sz="4" w:space="0" w:color="000000"/>
            </w:tcBorders>
            <w:vAlign w:val="center"/>
          </w:tcPr>
          <w:p w14:paraId="5DFEC2CF" w14:textId="77777777" w:rsidR="00283172" w:rsidRDefault="00C56141" w:rsidP="00283172">
            <w:pPr>
              <w:snapToGrid w:val="0"/>
              <w:spacing w:after="0" w:line="360" w:lineRule="auto"/>
              <w:rPr>
                <w:rFonts w:ascii="宋体" w:eastAsia="宋体" w:hAnsi="宋体"/>
                <w:sz w:val="24"/>
                <w:szCs w:val="24"/>
              </w:rPr>
            </w:pPr>
            <w:r>
              <w:rPr>
                <w:rFonts w:ascii="宋体" w:eastAsia="宋体" w:hAnsi="宋体" w:hint="eastAsia"/>
                <w:sz w:val="24"/>
                <w:szCs w:val="24"/>
              </w:rPr>
              <w:t>国信证券经济研究所：吴双</w:t>
            </w:r>
          </w:p>
          <w:p w14:paraId="05D3DB93" w14:textId="77777777" w:rsidR="00C56141" w:rsidRDefault="00C56141" w:rsidP="00283172">
            <w:pPr>
              <w:snapToGrid w:val="0"/>
              <w:spacing w:after="0" w:line="360" w:lineRule="auto"/>
              <w:rPr>
                <w:rFonts w:ascii="宋体" w:eastAsia="宋体" w:hAnsi="宋体"/>
                <w:sz w:val="24"/>
                <w:szCs w:val="24"/>
              </w:rPr>
            </w:pPr>
            <w:r>
              <w:rPr>
                <w:rFonts w:ascii="宋体" w:eastAsia="宋体" w:hAnsi="宋体" w:hint="eastAsia"/>
                <w:sz w:val="24"/>
                <w:szCs w:val="24"/>
              </w:rPr>
              <w:t>国泰基金：徐毅梁、陈亚琼</w:t>
            </w:r>
          </w:p>
          <w:p w14:paraId="276ABA40" w14:textId="2487B0B9" w:rsidR="00C56141" w:rsidRPr="000C06D7" w:rsidRDefault="00C56141" w:rsidP="00283172">
            <w:pPr>
              <w:snapToGrid w:val="0"/>
              <w:spacing w:after="0" w:line="360" w:lineRule="auto"/>
              <w:rPr>
                <w:rFonts w:ascii="宋体" w:eastAsia="宋体" w:hAnsi="宋体"/>
                <w:sz w:val="24"/>
                <w:szCs w:val="24"/>
              </w:rPr>
            </w:pPr>
            <w:r>
              <w:rPr>
                <w:rFonts w:ascii="宋体" w:eastAsia="宋体" w:hAnsi="宋体" w:hint="eastAsia"/>
                <w:sz w:val="24"/>
                <w:szCs w:val="24"/>
              </w:rPr>
              <w:t>华夏基金：郑泽鸿</w:t>
            </w:r>
          </w:p>
        </w:tc>
      </w:tr>
      <w:tr w:rsidR="00A54DA5" w:rsidRPr="00843759" w14:paraId="4B388FEF" w14:textId="77777777" w:rsidTr="002A3115">
        <w:trPr>
          <w:trHeight w:val="527"/>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763E5D6" w14:textId="77777777" w:rsidR="00A54DA5" w:rsidRPr="001E7630" w:rsidRDefault="001E7630" w:rsidP="001E7630">
            <w:pPr>
              <w:snapToGrid w:val="0"/>
              <w:spacing w:after="0" w:line="360" w:lineRule="auto"/>
              <w:ind w:firstLineChars="300" w:firstLine="723"/>
              <w:rPr>
                <w:rFonts w:ascii="宋体" w:eastAsia="宋体" w:hAnsi="宋体"/>
                <w:b/>
                <w:bCs/>
                <w:sz w:val="24"/>
                <w:szCs w:val="24"/>
              </w:rPr>
            </w:pPr>
            <w:r>
              <w:rPr>
                <w:rFonts w:ascii="宋体" w:eastAsia="宋体" w:hAnsi="宋体" w:hint="eastAsia"/>
                <w:b/>
                <w:bCs/>
                <w:sz w:val="24"/>
                <w:szCs w:val="24"/>
              </w:rPr>
              <w:t>时间</w:t>
            </w:r>
          </w:p>
        </w:tc>
        <w:tc>
          <w:tcPr>
            <w:tcW w:w="7876" w:type="dxa"/>
            <w:tcBorders>
              <w:top w:val="single" w:sz="4" w:space="0" w:color="000000"/>
              <w:left w:val="single" w:sz="4" w:space="0" w:color="000000"/>
              <w:bottom w:val="single" w:sz="4" w:space="0" w:color="000000"/>
              <w:right w:val="single" w:sz="4" w:space="0" w:color="000000"/>
            </w:tcBorders>
            <w:vAlign w:val="center"/>
          </w:tcPr>
          <w:p w14:paraId="5E750B1F" w14:textId="2E2E97BD" w:rsidR="00A54DA5" w:rsidRPr="00843759" w:rsidRDefault="00843759" w:rsidP="00843759">
            <w:pPr>
              <w:snapToGrid w:val="0"/>
              <w:spacing w:after="0" w:line="360" w:lineRule="auto"/>
              <w:rPr>
                <w:rFonts w:ascii="宋体" w:eastAsia="宋体" w:hAnsi="宋体"/>
                <w:sz w:val="24"/>
                <w:szCs w:val="24"/>
              </w:rPr>
            </w:pPr>
            <w:r w:rsidRPr="00843759">
              <w:rPr>
                <w:rFonts w:ascii="宋体" w:eastAsia="宋体" w:hAnsi="宋体" w:hint="eastAsia"/>
                <w:sz w:val="24"/>
                <w:szCs w:val="24"/>
              </w:rPr>
              <w:t>2</w:t>
            </w:r>
            <w:r w:rsidRPr="00843759">
              <w:rPr>
                <w:rFonts w:ascii="宋体" w:eastAsia="宋体" w:hAnsi="宋体"/>
                <w:sz w:val="24"/>
                <w:szCs w:val="24"/>
              </w:rPr>
              <w:t>0</w:t>
            </w:r>
            <w:r w:rsidR="00AE3476">
              <w:rPr>
                <w:rFonts w:ascii="宋体" w:eastAsia="宋体" w:hAnsi="宋体" w:hint="eastAsia"/>
                <w:sz w:val="24"/>
                <w:szCs w:val="24"/>
              </w:rPr>
              <w:t>20</w:t>
            </w:r>
            <w:r w:rsidRPr="00843759">
              <w:rPr>
                <w:rFonts w:ascii="宋体" w:eastAsia="宋体" w:hAnsi="宋体" w:hint="eastAsia"/>
                <w:sz w:val="24"/>
                <w:szCs w:val="24"/>
              </w:rPr>
              <w:t>年</w:t>
            </w:r>
            <w:r w:rsidR="00C56141">
              <w:rPr>
                <w:rFonts w:ascii="宋体" w:eastAsia="宋体" w:hAnsi="宋体" w:hint="eastAsia"/>
                <w:sz w:val="24"/>
                <w:szCs w:val="24"/>
              </w:rPr>
              <w:t>6</w:t>
            </w:r>
            <w:r>
              <w:rPr>
                <w:rFonts w:ascii="宋体" w:eastAsia="宋体" w:hAnsi="宋体" w:hint="eastAsia"/>
                <w:sz w:val="24"/>
                <w:szCs w:val="24"/>
              </w:rPr>
              <w:t>月</w:t>
            </w:r>
            <w:r w:rsidR="00C56141">
              <w:rPr>
                <w:rFonts w:ascii="宋体" w:eastAsia="宋体" w:hAnsi="宋体" w:hint="eastAsia"/>
                <w:sz w:val="24"/>
                <w:szCs w:val="24"/>
              </w:rPr>
              <w:t>11</w:t>
            </w:r>
            <w:r>
              <w:rPr>
                <w:rFonts w:ascii="宋体" w:eastAsia="宋体" w:hAnsi="宋体" w:hint="eastAsia"/>
                <w:sz w:val="24"/>
                <w:szCs w:val="24"/>
              </w:rPr>
              <w:t>日</w:t>
            </w:r>
          </w:p>
        </w:tc>
      </w:tr>
      <w:tr w:rsidR="00A54DA5" w:rsidRPr="00843759" w14:paraId="292C925E"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53F69E56"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876" w:type="dxa"/>
            <w:tcBorders>
              <w:top w:val="single" w:sz="4" w:space="0" w:color="000000"/>
              <w:left w:val="single" w:sz="4" w:space="0" w:color="000000"/>
              <w:bottom w:val="single" w:sz="4" w:space="0" w:color="000000"/>
              <w:right w:val="single" w:sz="4" w:space="0" w:color="000000"/>
            </w:tcBorders>
            <w:vAlign w:val="bottom"/>
          </w:tcPr>
          <w:p w14:paraId="37253344" w14:textId="745D19C6" w:rsidR="00A54DA5" w:rsidRPr="00843759" w:rsidRDefault="00595828" w:rsidP="00843759">
            <w:pPr>
              <w:snapToGrid w:val="0"/>
              <w:spacing w:after="0" w:line="360" w:lineRule="auto"/>
              <w:rPr>
                <w:rFonts w:ascii="宋体" w:eastAsia="宋体" w:hAnsi="宋体"/>
                <w:sz w:val="24"/>
                <w:szCs w:val="24"/>
              </w:rPr>
            </w:pPr>
            <w:r w:rsidRPr="00843759">
              <w:rPr>
                <w:rFonts w:ascii="宋体" w:eastAsia="宋体" w:hAnsi="宋体" w:hint="eastAsia"/>
                <w:sz w:val="24"/>
                <w:szCs w:val="24"/>
              </w:rPr>
              <w:t>公司会议室</w:t>
            </w:r>
          </w:p>
        </w:tc>
      </w:tr>
      <w:tr w:rsidR="00A54DA5" w:rsidRPr="00843759" w14:paraId="740F4F3C" w14:textId="77777777" w:rsidTr="001E7630">
        <w:trPr>
          <w:trHeight w:val="639"/>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2DF7F1BF"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接待人员</w:t>
            </w:r>
          </w:p>
        </w:tc>
        <w:tc>
          <w:tcPr>
            <w:tcW w:w="7876" w:type="dxa"/>
            <w:tcBorders>
              <w:top w:val="single" w:sz="4" w:space="0" w:color="000000"/>
              <w:left w:val="single" w:sz="4" w:space="0" w:color="000000"/>
              <w:bottom w:val="single" w:sz="4" w:space="0" w:color="000000"/>
              <w:right w:val="single" w:sz="4" w:space="0" w:color="000000"/>
            </w:tcBorders>
            <w:vAlign w:val="bottom"/>
          </w:tcPr>
          <w:p w14:paraId="182C10E2" w14:textId="44218664" w:rsidR="00C56141" w:rsidRDefault="00C56141" w:rsidP="00843759">
            <w:pPr>
              <w:snapToGrid w:val="0"/>
              <w:spacing w:after="0" w:line="360" w:lineRule="auto"/>
              <w:rPr>
                <w:rFonts w:ascii="宋体" w:eastAsia="宋体" w:hAnsi="宋体"/>
                <w:sz w:val="24"/>
                <w:szCs w:val="24"/>
              </w:rPr>
            </w:pPr>
            <w:r>
              <w:rPr>
                <w:rFonts w:ascii="宋体" w:eastAsia="宋体" w:hAnsi="宋体" w:hint="eastAsia"/>
                <w:sz w:val="24"/>
                <w:szCs w:val="24"/>
              </w:rPr>
              <w:t>董事、副总经理：桑宏宇</w:t>
            </w:r>
          </w:p>
          <w:p w14:paraId="13991D8C" w14:textId="34255B4B" w:rsidR="00F14E77" w:rsidRPr="00843759" w:rsidRDefault="007323AE" w:rsidP="00843759">
            <w:pPr>
              <w:snapToGrid w:val="0"/>
              <w:spacing w:after="0" w:line="360" w:lineRule="auto"/>
              <w:rPr>
                <w:rFonts w:ascii="宋体" w:eastAsia="宋体" w:hAnsi="宋体"/>
                <w:sz w:val="24"/>
                <w:szCs w:val="24"/>
              </w:rPr>
            </w:pPr>
            <w:r>
              <w:rPr>
                <w:rFonts w:ascii="宋体" w:eastAsia="宋体" w:hAnsi="宋体" w:hint="eastAsia"/>
                <w:sz w:val="24"/>
                <w:szCs w:val="24"/>
              </w:rPr>
              <w:t>财务总监、董事会秘书</w:t>
            </w:r>
            <w:r w:rsidR="00AE3476">
              <w:rPr>
                <w:rFonts w:ascii="宋体" w:eastAsia="宋体" w:hAnsi="宋体" w:hint="eastAsia"/>
                <w:sz w:val="24"/>
                <w:szCs w:val="24"/>
              </w:rPr>
              <w:t>：</w:t>
            </w:r>
            <w:r>
              <w:rPr>
                <w:rFonts w:ascii="宋体" w:eastAsia="宋体" w:hAnsi="宋体" w:hint="eastAsia"/>
                <w:sz w:val="24"/>
                <w:szCs w:val="24"/>
              </w:rPr>
              <w:t>傅风华</w:t>
            </w:r>
          </w:p>
        </w:tc>
      </w:tr>
      <w:tr w:rsidR="00595828" w:rsidRPr="00843759" w14:paraId="7EE07C16"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0A5FA6AA" w14:textId="77777777" w:rsidR="00595828" w:rsidRPr="00843759" w:rsidRDefault="00595828" w:rsidP="00843759">
            <w:pPr>
              <w:snapToGrid w:val="0"/>
              <w:spacing w:after="0" w:line="360" w:lineRule="auto"/>
              <w:ind w:right="110"/>
              <w:jc w:val="center"/>
              <w:rPr>
                <w:rFonts w:ascii="宋体" w:eastAsia="宋体" w:hAnsi="宋体" w:cs="宋体"/>
                <w:b/>
                <w:sz w:val="24"/>
                <w:szCs w:val="24"/>
              </w:rPr>
            </w:pPr>
            <w:r w:rsidRPr="00843759">
              <w:rPr>
                <w:rFonts w:ascii="宋体" w:eastAsia="宋体" w:hAnsi="宋体" w:cs="宋体"/>
                <w:b/>
                <w:sz w:val="24"/>
                <w:szCs w:val="24"/>
              </w:rPr>
              <w:t>投资者关系活动主要内容介绍</w:t>
            </w:r>
          </w:p>
        </w:tc>
        <w:tc>
          <w:tcPr>
            <w:tcW w:w="7876" w:type="dxa"/>
            <w:tcBorders>
              <w:top w:val="single" w:sz="4" w:space="0" w:color="000000"/>
              <w:left w:val="single" w:sz="4" w:space="0" w:color="000000"/>
              <w:bottom w:val="single" w:sz="4" w:space="0" w:color="000000"/>
              <w:right w:val="single" w:sz="4" w:space="0" w:color="000000"/>
            </w:tcBorders>
            <w:vAlign w:val="bottom"/>
          </w:tcPr>
          <w:p w14:paraId="12897099" w14:textId="77777777" w:rsidR="00E105E4" w:rsidRPr="008A3216" w:rsidRDefault="00E105E4" w:rsidP="00674A2B">
            <w:pPr>
              <w:snapToGrid w:val="0"/>
              <w:spacing w:after="0" w:line="360" w:lineRule="auto"/>
              <w:jc w:val="both"/>
              <w:rPr>
                <w:rFonts w:ascii="宋体" w:eastAsia="宋体" w:hAnsi="宋体" w:cs="宋体"/>
                <w:b/>
                <w:color w:val="auto"/>
                <w:sz w:val="24"/>
                <w:szCs w:val="24"/>
              </w:rPr>
            </w:pPr>
            <w:r w:rsidRPr="008A3216">
              <w:rPr>
                <w:rFonts w:ascii="宋体" w:eastAsia="宋体" w:hAnsi="宋体" w:cs="宋体" w:hint="eastAsia"/>
                <w:b/>
                <w:color w:val="auto"/>
                <w:sz w:val="24"/>
                <w:szCs w:val="24"/>
              </w:rPr>
              <w:t>第一部分、介绍公司基本情况</w:t>
            </w:r>
          </w:p>
          <w:p w14:paraId="3DB150D5" w14:textId="77777777" w:rsidR="002D0456" w:rsidRDefault="00F14E77" w:rsidP="00674A2B">
            <w:pPr>
              <w:snapToGrid w:val="0"/>
              <w:spacing w:after="0" w:line="360" w:lineRule="auto"/>
              <w:jc w:val="both"/>
              <w:rPr>
                <w:rFonts w:ascii="宋体" w:eastAsia="宋体" w:hAnsi="宋体" w:cs="宋体"/>
                <w:sz w:val="24"/>
                <w:szCs w:val="24"/>
              </w:rPr>
            </w:pPr>
            <w:r>
              <w:rPr>
                <w:rFonts w:ascii="宋体" w:eastAsia="宋体" w:hAnsi="宋体" w:cs="宋体" w:hint="eastAsia"/>
                <w:sz w:val="24"/>
                <w:szCs w:val="24"/>
              </w:rPr>
              <w:t>杭可科技</w:t>
            </w:r>
            <w:r w:rsidRPr="00F14E77">
              <w:rPr>
                <w:rFonts w:ascii="宋体" w:eastAsia="宋体" w:hAnsi="宋体" w:cs="宋体" w:hint="eastAsia"/>
                <w:sz w:val="24"/>
                <w:szCs w:val="24"/>
              </w:rPr>
              <w:t>始终致力于各类可充</w:t>
            </w:r>
            <w:r>
              <w:rPr>
                <w:rFonts w:ascii="宋体" w:eastAsia="宋体" w:hAnsi="宋体" w:cs="宋体" w:hint="eastAsia"/>
                <w:sz w:val="24"/>
                <w:szCs w:val="24"/>
              </w:rPr>
              <w:t>电</w:t>
            </w:r>
            <w:r w:rsidRPr="00F14E77">
              <w:rPr>
                <w:rFonts w:ascii="宋体" w:eastAsia="宋体" w:hAnsi="宋体" w:cs="宋体" w:hint="eastAsia"/>
                <w:sz w:val="24"/>
                <w:szCs w:val="24"/>
              </w:rPr>
              <w:t>电池，特别是锂离子</w:t>
            </w:r>
            <w:r>
              <w:rPr>
                <w:rFonts w:ascii="宋体" w:eastAsia="宋体" w:hAnsi="宋体" w:cs="宋体" w:hint="eastAsia"/>
                <w:sz w:val="24"/>
                <w:szCs w:val="24"/>
              </w:rPr>
              <w:t>电池</w:t>
            </w:r>
            <w:r w:rsidRPr="00F14E77">
              <w:rPr>
                <w:rFonts w:ascii="宋体" w:eastAsia="宋体" w:hAnsi="宋体" w:cs="宋体" w:hint="eastAsia"/>
                <w:sz w:val="24"/>
                <w:szCs w:val="24"/>
              </w:rPr>
              <w:t>的后处理系统的设计、研发</w:t>
            </w:r>
            <w:r>
              <w:rPr>
                <w:rFonts w:ascii="宋体" w:eastAsia="宋体" w:hAnsi="宋体" w:cs="宋体" w:hint="eastAsia"/>
                <w:sz w:val="24"/>
                <w:szCs w:val="24"/>
              </w:rPr>
              <w:t>、</w:t>
            </w:r>
            <w:r w:rsidRPr="00F14E77">
              <w:rPr>
                <w:rFonts w:ascii="宋体" w:eastAsia="宋体" w:hAnsi="宋体" w:cs="宋体" w:hint="eastAsia"/>
                <w:sz w:val="24"/>
                <w:szCs w:val="24"/>
              </w:rPr>
              <w:t>生产与销售，目前在充放电机</w:t>
            </w:r>
            <w:r>
              <w:rPr>
                <w:rFonts w:ascii="宋体" w:eastAsia="宋体" w:hAnsi="宋体" w:cs="宋体" w:hint="eastAsia"/>
                <w:sz w:val="24"/>
                <w:szCs w:val="24"/>
              </w:rPr>
              <w:t>、</w:t>
            </w:r>
            <w:r w:rsidRPr="00F14E77">
              <w:rPr>
                <w:rFonts w:ascii="宋体" w:eastAsia="宋体" w:hAnsi="宋体" w:cs="宋体" w:hint="eastAsia"/>
                <w:sz w:val="24"/>
                <w:szCs w:val="24"/>
              </w:rPr>
              <w:t>内阻测试仪等后处理系统核心设备的研发、生产方面拥有核心技术和能力，并</w:t>
            </w:r>
            <w:r>
              <w:rPr>
                <w:rFonts w:ascii="宋体" w:eastAsia="宋体" w:hAnsi="宋体" w:cs="宋体" w:hint="eastAsia"/>
                <w:sz w:val="24"/>
                <w:szCs w:val="24"/>
              </w:rPr>
              <w:t>能</w:t>
            </w:r>
            <w:r w:rsidRPr="00F14E77">
              <w:rPr>
                <w:rFonts w:ascii="宋体" w:eastAsia="宋体" w:hAnsi="宋体" w:cs="宋体" w:hint="eastAsia"/>
                <w:sz w:val="24"/>
                <w:szCs w:val="24"/>
              </w:rPr>
              <w:t>提供锂离子电池</w:t>
            </w:r>
            <w:r>
              <w:rPr>
                <w:rFonts w:ascii="宋体" w:eastAsia="宋体" w:hAnsi="宋体" w:cs="宋体" w:hint="eastAsia"/>
                <w:sz w:val="24"/>
                <w:szCs w:val="24"/>
              </w:rPr>
              <w:t>生产</w:t>
            </w:r>
            <w:r w:rsidRPr="00F14E77">
              <w:rPr>
                <w:rFonts w:ascii="宋体" w:eastAsia="宋体" w:hAnsi="宋体" w:cs="宋体" w:hint="eastAsia"/>
                <w:sz w:val="24"/>
                <w:szCs w:val="24"/>
              </w:rPr>
              <w:t>线后处理系统整体解决方案。</w:t>
            </w:r>
          </w:p>
          <w:p w14:paraId="5676DE82" w14:textId="77777777" w:rsidR="00E105E4" w:rsidRPr="00301D5F" w:rsidRDefault="00E105E4" w:rsidP="00674A2B">
            <w:pPr>
              <w:snapToGrid w:val="0"/>
              <w:spacing w:after="0" w:line="360" w:lineRule="auto"/>
              <w:jc w:val="both"/>
              <w:rPr>
                <w:rFonts w:ascii="宋体" w:eastAsia="宋体" w:hAnsi="宋体" w:cs="宋体"/>
                <w:b/>
                <w:sz w:val="24"/>
                <w:szCs w:val="24"/>
              </w:rPr>
            </w:pPr>
            <w:r w:rsidRPr="00301D5F">
              <w:rPr>
                <w:rFonts w:ascii="宋体" w:eastAsia="宋体" w:hAnsi="宋体" w:cs="宋体" w:hint="eastAsia"/>
                <w:b/>
                <w:sz w:val="24"/>
                <w:szCs w:val="24"/>
              </w:rPr>
              <w:t>第二部分、</w:t>
            </w:r>
            <w:r w:rsidR="00301D5F" w:rsidRPr="00301D5F">
              <w:rPr>
                <w:rFonts w:ascii="宋体" w:eastAsia="宋体" w:hAnsi="宋体" w:cs="宋体" w:hint="eastAsia"/>
                <w:b/>
                <w:sz w:val="24"/>
                <w:szCs w:val="24"/>
              </w:rPr>
              <w:t>提问回答</w:t>
            </w:r>
          </w:p>
          <w:p w14:paraId="294306FB" w14:textId="5AD8487F" w:rsidR="00864D27" w:rsidRPr="00864D27" w:rsidRDefault="00312BFB" w:rsidP="00864D27">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w:t>
            </w:r>
            <w:r>
              <w:rPr>
                <w:rFonts w:ascii="宋体" w:eastAsia="宋体" w:hAnsi="宋体" w:cs="宋体" w:hint="eastAsia"/>
                <w:sz w:val="24"/>
                <w:szCs w:val="24"/>
              </w:rPr>
              <w:t>１</w:t>
            </w:r>
            <w:r w:rsidR="00595828" w:rsidRPr="00312BFB">
              <w:rPr>
                <w:rFonts w:ascii="宋体" w:eastAsia="宋体" w:hAnsi="宋体" w:cs="宋体"/>
                <w:sz w:val="24"/>
                <w:szCs w:val="24"/>
              </w:rPr>
              <w:t>:</w:t>
            </w:r>
            <w:r w:rsidR="009C480E">
              <w:t xml:space="preserve"> </w:t>
            </w:r>
            <w:r w:rsidR="008416E3" w:rsidRPr="008416E3">
              <w:rPr>
                <w:rFonts w:ascii="宋体" w:eastAsia="宋体" w:hAnsi="宋体" w:cs="宋体" w:hint="eastAsia"/>
                <w:sz w:val="24"/>
                <w:szCs w:val="24"/>
              </w:rPr>
              <w:t>作为高新技术企业，公司如何以研发能力驱动业绩增涨？</w:t>
            </w:r>
          </w:p>
          <w:p w14:paraId="1BB4B8D4" w14:textId="4D563496" w:rsidR="00956BF8" w:rsidRPr="00956BF8" w:rsidRDefault="00864D27" w:rsidP="00956BF8">
            <w:pPr>
              <w:snapToGrid w:val="0"/>
              <w:spacing w:after="0" w:line="360" w:lineRule="auto"/>
              <w:jc w:val="both"/>
              <w:rPr>
                <w:rFonts w:ascii="宋体" w:eastAsia="宋体" w:hAnsi="宋体" w:cs="宋体"/>
                <w:sz w:val="24"/>
                <w:szCs w:val="24"/>
              </w:rPr>
            </w:pPr>
            <w:r w:rsidRPr="00864D27">
              <w:rPr>
                <w:rFonts w:ascii="宋体" w:eastAsia="宋体" w:hAnsi="宋体" w:cs="宋体" w:hint="eastAsia"/>
                <w:sz w:val="24"/>
                <w:szCs w:val="24"/>
              </w:rPr>
              <w:t>Ａ：您好</w:t>
            </w:r>
            <w:r w:rsidR="0023201F">
              <w:rPr>
                <w:rFonts w:ascii="宋体" w:eastAsia="宋体" w:hAnsi="宋体" w:cs="宋体" w:hint="eastAsia"/>
                <w:sz w:val="24"/>
                <w:szCs w:val="24"/>
              </w:rPr>
              <w:t>，</w:t>
            </w:r>
            <w:r w:rsidR="008416E3" w:rsidRPr="008416E3">
              <w:rPr>
                <w:rFonts w:ascii="宋体" w:eastAsia="宋体" w:hAnsi="宋体" w:cs="宋体" w:hint="eastAsia"/>
                <w:sz w:val="24"/>
                <w:szCs w:val="24"/>
              </w:rPr>
              <w:t>公司坚持需求驱动与主动开发相结合的研发模式。按照客户需求进行产品开发和生产，协助客户实现既定的生产工艺目标或者技术指标是行业普遍的产品开发模式。在此基础上，公司借助在锂离子电池生产线后处理系统领域的多年技术积累，能够把问题和难点、技术路线在前端思</w:t>
            </w:r>
            <w:r w:rsidR="008416E3" w:rsidRPr="008416E3">
              <w:rPr>
                <w:rFonts w:ascii="宋体" w:eastAsia="宋体" w:hAnsi="宋体" w:cs="宋体" w:hint="eastAsia"/>
                <w:sz w:val="24"/>
                <w:szCs w:val="24"/>
              </w:rPr>
              <w:lastRenderedPageBreak/>
              <w:t>考和解决，以高温加压化成系统为例，引导了客户相关需求，为客户创造附加价值，从而在研发端驱动公司业绩的增涨。</w:t>
            </w:r>
          </w:p>
          <w:p w14:paraId="5331FED6" w14:textId="77777777" w:rsidR="00864D27" w:rsidRDefault="00864D27" w:rsidP="00A74B63">
            <w:pPr>
              <w:snapToGrid w:val="0"/>
              <w:spacing w:after="0" w:line="360" w:lineRule="auto"/>
              <w:jc w:val="both"/>
              <w:rPr>
                <w:rFonts w:ascii="宋体" w:eastAsia="宋体" w:hAnsi="宋体" w:cs="宋体"/>
                <w:sz w:val="24"/>
                <w:szCs w:val="24"/>
              </w:rPr>
            </w:pPr>
          </w:p>
          <w:p w14:paraId="400A3B2C" w14:textId="3BD5375E" w:rsidR="003A1A21" w:rsidRPr="003A1A21" w:rsidRDefault="00312BFB" w:rsidP="003A1A21">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Ｑ２：</w:t>
            </w:r>
            <w:r w:rsidR="008416E3" w:rsidRPr="008416E3">
              <w:rPr>
                <w:rFonts w:ascii="宋体" w:eastAsia="宋体" w:hAnsi="宋体" w:cs="宋体" w:hint="eastAsia"/>
                <w:sz w:val="24"/>
                <w:szCs w:val="24"/>
              </w:rPr>
              <w:t>未来我国锂离子电池设备生产商将主要遵循哪些扩张路径？</w:t>
            </w:r>
          </w:p>
          <w:p w14:paraId="2ED06DDE" w14:textId="4825D9D9" w:rsidR="00365953" w:rsidRDefault="003A1A21" w:rsidP="00674A2B">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8416E3" w:rsidRPr="008416E3">
              <w:rPr>
                <w:rFonts w:ascii="宋体" w:eastAsia="宋体" w:hAnsi="宋体" w:cs="宋体" w:hint="eastAsia"/>
                <w:sz w:val="24"/>
                <w:szCs w:val="24"/>
              </w:rPr>
              <w:t>您好，未来我国锂离子电池设备生产商将主要遵循以下三种路径进行扩张：①整线化设备：将业务逐渐从一种或几种锂电设备逐渐拓展到包含前、中、后段多种锂电设备，力求可以向下游客户提供整套锂电池生产设备；②专注于单一设备领域，但是寻求下游多领域的开发运用，打破锂电单一领域运用的局限；③突破单一设备领域，将原本的锂电设备业务向前和向后延伸，打造阶段一体化设备或者形成阶段整线化锂电设备的供给能力。</w:t>
            </w:r>
          </w:p>
          <w:p w14:paraId="6F232FB3" w14:textId="77777777" w:rsidR="008416E3" w:rsidRPr="00312BFB" w:rsidRDefault="008416E3" w:rsidP="00674A2B">
            <w:pPr>
              <w:snapToGrid w:val="0"/>
              <w:spacing w:after="0" w:line="360" w:lineRule="auto"/>
              <w:jc w:val="both"/>
              <w:rPr>
                <w:rFonts w:ascii="宋体" w:eastAsia="宋体" w:hAnsi="宋体"/>
                <w:sz w:val="24"/>
                <w:szCs w:val="24"/>
              </w:rPr>
            </w:pPr>
          </w:p>
          <w:p w14:paraId="0D13B578" w14:textId="2AFD2FCF" w:rsidR="00E87677" w:rsidRPr="00E87677" w:rsidRDefault="00312BFB" w:rsidP="00E87677">
            <w:pPr>
              <w:snapToGrid w:val="0"/>
              <w:spacing w:after="0" w:line="360" w:lineRule="auto"/>
              <w:jc w:val="both"/>
              <w:rPr>
                <w:rFonts w:ascii="宋体" w:eastAsia="宋体" w:hAnsi="宋体" w:cs="宋体"/>
                <w:sz w:val="24"/>
                <w:szCs w:val="24"/>
              </w:rPr>
            </w:pPr>
            <w:r>
              <w:rPr>
                <w:rFonts w:ascii="宋体" w:eastAsia="宋体" w:hAnsi="宋体" w:cs="宋体" w:hint="eastAsia"/>
                <w:sz w:val="24"/>
                <w:szCs w:val="24"/>
              </w:rPr>
              <w:t>Ｑ</w:t>
            </w:r>
            <w:r w:rsidRPr="00312BFB">
              <w:rPr>
                <w:rFonts w:ascii="宋体" w:eastAsia="宋体" w:hAnsi="宋体" w:cs="宋体" w:hint="eastAsia"/>
                <w:sz w:val="24"/>
                <w:szCs w:val="24"/>
              </w:rPr>
              <w:t>３</w:t>
            </w:r>
            <w:r w:rsidR="00595828" w:rsidRPr="00312BFB">
              <w:rPr>
                <w:rFonts w:ascii="宋体" w:eastAsia="宋体" w:hAnsi="宋体" w:cs="宋体"/>
                <w:sz w:val="24"/>
                <w:szCs w:val="24"/>
              </w:rPr>
              <w:t>:</w:t>
            </w:r>
            <w:r w:rsidR="008416E3" w:rsidRPr="008416E3">
              <w:rPr>
                <w:rFonts w:ascii="宋体" w:eastAsia="宋体" w:hAnsi="宋体" w:cs="宋体" w:hint="eastAsia"/>
                <w:sz w:val="24"/>
                <w:szCs w:val="24"/>
              </w:rPr>
              <w:t>公司的人才优势具体表现是什么？</w:t>
            </w:r>
          </w:p>
          <w:p w14:paraId="5E9CBBF8" w14:textId="1B43A53C" w:rsidR="00E87677" w:rsidRDefault="00E87677" w:rsidP="00E87677">
            <w:pPr>
              <w:snapToGrid w:val="0"/>
              <w:spacing w:after="0" w:line="360" w:lineRule="auto"/>
              <w:jc w:val="both"/>
              <w:rPr>
                <w:rFonts w:ascii="宋体" w:eastAsia="宋体" w:hAnsi="宋体" w:cs="宋体"/>
                <w:sz w:val="24"/>
                <w:szCs w:val="24"/>
              </w:rPr>
            </w:pPr>
            <w:r w:rsidRPr="00E87677">
              <w:rPr>
                <w:rFonts w:ascii="宋体" w:eastAsia="宋体" w:hAnsi="宋体" w:cs="宋体" w:hint="eastAsia"/>
                <w:sz w:val="24"/>
                <w:szCs w:val="24"/>
              </w:rPr>
              <w:t>Ａ：</w:t>
            </w:r>
            <w:r w:rsidR="0023201F">
              <w:rPr>
                <w:rFonts w:ascii="宋体" w:eastAsia="宋体" w:hAnsi="宋体" w:cs="宋体" w:hint="eastAsia"/>
                <w:sz w:val="24"/>
                <w:szCs w:val="24"/>
              </w:rPr>
              <w:t>您好，</w:t>
            </w:r>
            <w:r w:rsidR="008416E3" w:rsidRPr="008416E3">
              <w:rPr>
                <w:rFonts w:ascii="宋体" w:eastAsia="宋体" w:hAnsi="宋体" w:cs="宋体" w:hint="eastAsia"/>
                <w:sz w:val="24"/>
                <w:szCs w:val="24"/>
              </w:rPr>
              <w:t>公司的核心技术人员稳定，均具有</w:t>
            </w:r>
            <w:r w:rsidR="008416E3" w:rsidRPr="008416E3">
              <w:rPr>
                <w:rFonts w:ascii="宋体" w:eastAsia="宋体" w:hAnsi="宋体" w:cs="宋体"/>
                <w:sz w:val="24"/>
                <w:szCs w:val="24"/>
              </w:rPr>
              <w:t>10</w:t>
            </w:r>
            <w:r w:rsidR="008416E3" w:rsidRPr="008416E3">
              <w:rPr>
                <w:rFonts w:ascii="宋体" w:eastAsia="宋体" w:hAnsi="宋体" w:cs="宋体" w:hint="eastAsia"/>
                <w:sz w:val="24"/>
                <w:szCs w:val="24"/>
              </w:rPr>
              <w:t>年以上行业经验。同时，公司技术人员的专业方向完整齐备，包括机械设计、硬件电路、嵌入式控制、自动化应用、软件开发、数据库等专业方向，能够支持公司后处理系统的全面研发，在多年的产品开发和技术积淀中也积累了丰富的经验。此外，公司的管理团队在后处理系统行业也拥有多年的工作和管理经验，积累了丰富的产品设计和加工制造经验，具有较强的管理能力，公司的人才优势明显。</w:t>
            </w:r>
          </w:p>
          <w:p w14:paraId="0D26B83B" w14:textId="77777777" w:rsidR="008416E3" w:rsidRPr="00312BFB" w:rsidRDefault="008416E3" w:rsidP="00E87677">
            <w:pPr>
              <w:snapToGrid w:val="0"/>
              <w:spacing w:after="0" w:line="360" w:lineRule="auto"/>
              <w:jc w:val="both"/>
              <w:rPr>
                <w:rFonts w:ascii="宋体" w:eastAsia="宋体" w:hAnsi="宋体" w:cs="宋体"/>
                <w:sz w:val="24"/>
                <w:szCs w:val="24"/>
              </w:rPr>
            </w:pPr>
          </w:p>
          <w:p w14:paraId="3DE40391" w14:textId="76F84FA3" w:rsidR="00755C2A" w:rsidRDefault="00AD5AEE" w:rsidP="00A2032F">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Ｑ４：</w:t>
            </w:r>
            <w:r w:rsidR="008416E3" w:rsidRPr="008416E3">
              <w:rPr>
                <w:rFonts w:ascii="宋体" w:eastAsia="宋体" w:hAnsi="宋体" w:cs="宋体" w:hint="eastAsia"/>
                <w:sz w:val="24"/>
                <w:szCs w:val="24"/>
              </w:rPr>
              <w:t>世界主要工业国均出台了鼓励以电动汽车为主的新能源汽车发展的产业政策，这对动力电池领域会有什么样的影响？</w:t>
            </w:r>
          </w:p>
          <w:p w14:paraId="4CE96B9F" w14:textId="77777777" w:rsidR="008416E3" w:rsidRPr="008416E3" w:rsidRDefault="00755C2A" w:rsidP="008416E3">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956BF8">
              <w:rPr>
                <w:rFonts w:ascii="宋体" w:eastAsia="宋体" w:hAnsi="宋体" w:cs="宋体" w:hint="eastAsia"/>
                <w:sz w:val="24"/>
                <w:szCs w:val="24"/>
              </w:rPr>
              <w:t>您好，</w:t>
            </w:r>
            <w:r w:rsidR="008416E3" w:rsidRPr="008416E3">
              <w:rPr>
                <w:rFonts w:ascii="宋体" w:eastAsia="宋体" w:hAnsi="宋体" w:cs="宋体" w:hint="eastAsia"/>
                <w:sz w:val="24"/>
                <w:szCs w:val="24"/>
              </w:rPr>
              <w:t>世界各国对新能源汽车产业的政策扶持将会加速推进新能源汽车的发展，而锂离子电池是目前公认的最佳动力电池解决方案，新能源汽车的发展将带动动力锂电池需求量的上升。日本研究机构</w:t>
            </w:r>
            <w:r w:rsidR="008416E3" w:rsidRPr="008416E3">
              <w:rPr>
                <w:rFonts w:ascii="宋体" w:eastAsia="宋体" w:hAnsi="宋体" w:cs="宋体"/>
                <w:sz w:val="24"/>
                <w:szCs w:val="24"/>
              </w:rPr>
              <w:t>IIT</w:t>
            </w:r>
            <w:r w:rsidR="008416E3" w:rsidRPr="008416E3">
              <w:rPr>
                <w:rFonts w:ascii="宋体" w:eastAsia="宋体" w:hAnsi="宋体" w:cs="宋体" w:hint="eastAsia"/>
                <w:sz w:val="24"/>
                <w:szCs w:val="24"/>
              </w:rPr>
              <w:t>根据世界各主要汽车厂商目前公布的新能源汽车规划统计预测，</w:t>
            </w:r>
            <w:r w:rsidR="008416E3" w:rsidRPr="008416E3">
              <w:rPr>
                <w:rFonts w:ascii="宋体" w:eastAsia="宋体" w:hAnsi="宋体" w:cs="宋体"/>
                <w:sz w:val="24"/>
                <w:szCs w:val="24"/>
              </w:rPr>
              <w:t>2020</w:t>
            </w:r>
            <w:r w:rsidR="008416E3" w:rsidRPr="008416E3">
              <w:rPr>
                <w:rFonts w:ascii="宋体" w:eastAsia="宋体" w:hAnsi="宋体" w:cs="宋体" w:hint="eastAsia"/>
                <w:sz w:val="24"/>
                <w:szCs w:val="24"/>
              </w:rPr>
              <w:t>年电动汽车产量将达到</w:t>
            </w:r>
            <w:r w:rsidR="008416E3" w:rsidRPr="008416E3">
              <w:rPr>
                <w:rFonts w:ascii="宋体" w:eastAsia="宋体" w:hAnsi="宋体" w:cs="宋体"/>
                <w:sz w:val="24"/>
                <w:szCs w:val="24"/>
              </w:rPr>
              <w:t>668</w:t>
            </w:r>
            <w:r w:rsidR="008416E3" w:rsidRPr="008416E3">
              <w:rPr>
                <w:rFonts w:ascii="宋体" w:eastAsia="宋体" w:hAnsi="宋体" w:cs="宋体" w:hint="eastAsia"/>
                <w:sz w:val="24"/>
                <w:szCs w:val="24"/>
              </w:rPr>
              <w:t>万辆，是</w:t>
            </w:r>
            <w:r w:rsidR="008416E3" w:rsidRPr="008416E3">
              <w:rPr>
                <w:rFonts w:ascii="宋体" w:eastAsia="宋体" w:hAnsi="宋体" w:cs="宋体"/>
                <w:sz w:val="24"/>
                <w:szCs w:val="24"/>
              </w:rPr>
              <w:t>2012</w:t>
            </w:r>
            <w:r w:rsidR="008416E3" w:rsidRPr="008416E3">
              <w:rPr>
                <w:rFonts w:ascii="宋体" w:eastAsia="宋体" w:hAnsi="宋体" w:cs="宋体" w:hint="eastAsia"/>
                <w:sz w:val="24"/>
                <w:szCs w:val="24"/>
              </w:rPr>
              <w:t>年的</w:t>
            </w:r>
            <w:r w:rsidR="008416E3" w:rsidRPr="008416E3">
              <w:rPr>
                <w:rFonts w:ascii="宋体" w:eastAsia="宋体" w:hAnsi="宋体" w:cs="宋体"/>
                <w:sz w:val="24"/>
                <w:szCs w:val="24"/>
              </w:rPr>
              <w:t>4.2</w:t>
            </w:r>
            <w:r w:rsidR="008416E3" w:rsidRPr="008416E3">
              <w:rPr>
                <w:rFonts w:ascii="宋体" w:eastAsia="宋体" w:hAnsi="宋体" w:cs="宋体" w:hint="eastAsia"/>
                <w:sz w:val="24"/>
                <w:szCs w:val="24"/>
              </w:rPr>
              <w:t>倍。其中，插电式混合动力汽车产量将</w:t>
            </w:r>
            <w:r w:rsidR="008416E3" w:rsidRPr="008416E3">
              <w:rPr>
                <w:rFonts w:ascii="宋体" w:eastAsia="宋体" w:hAnsi="宋体" w:cs="宋体" w:hint="eastAsia"/>
                <w:sz w:val="24"/>
                <w:szCs w:val="24"/>
              </w:rPr>
              <w:lastRenderedPageBreak/>
              <w:t>会增长</w:t>
            </w:r>
            <w:r w:rsidR="008416E3" w:rsidRPr="008416E3">
              <w:rPr>
                <w:rFonts w:ascii="宋体" w:eastAsia="宋体" w:hAnsi="宋体" w:cs="宋体"/>
                <w:sz w:val="24"/>
                <w:szCs w:val="24"/>
              </w:rPr>
              <w:t>21</w:t>
            </w:r>
            <w:r w:rsidR="008416E3" w:rsidRPr="008416E3">
              <w:rPr>
                <w:rFonts w:ascii="宋体" w:eastAsia="宋体" w:hAnsi="宋体" w:cs="宋体" w:hint="eastAsia"/>
                <w:sz w:val="24"/>
                <w:szCs w:val="24"/>
              </w:rPr>
              <w:t>倍达到</w:t>
            </w:r>
            <w:r w:rsidR="008416E3" w:rsidRPr="008416E3">
              <w:rPr>
                <w:rFonts w:ascii="宋体" w:eastAsia="宋体" w:hAnsi="宋体" w:cs="宋体"/>
                <w:sz w:val="24"/>
                <w:szCs w:val="24"/>
              </w:rPr>
              <w:t>130</w:t>
            </w:r>
            <w:r w:rsidR="008416E3" w:rsidRPr="008416E3">
              <w:rPr>
                <w:rFonts w:ascii="宋体" w:eastAsia="宋体" w:hAnsi="宋体" w:cs="宋体" w:hint="eastAsia"/>
                <w:sz w:val="24"/>
                <w:szCs w:val="24"/>
              </w:rPr>
              <w:t>万辆，纯电动汽车产量将会达到</w:t>
            </w:r>
            <w:r w:rsidR="008416E3" w:rsidRPr="008416E3">
              <w:rPr>
                <w:rFonts w:ascii="宋体" w:eastAsia="宋体" w:hAnsi="宋体" w:cs="宋体"/>
                <w:sz w:val="24"/>
                <w:szCs w:val="24"/>
              </w:rPr>
              <w:t>118</w:t>
            </w:r>
            <w:r w:rsidR="008416E3" w:rsidRPr="008416E3">
              <w:rPr>
                <w:rFonts w:ascii="宋体" w:eastAsia="宋体" w:hAnsi="宋体" w:cs="宋体" w:hint="eastAsia"/>
                <w:sz w:val="24"/>
                <w:szCs w:val="24"/>
              </w:rPr>
              <w:t>万辆，增长</w:t>
            </w:r>
            <w:r w:rsidR="008416E3" w:rsidRPr="008416E3">
              <w:rPr>
                <w:rFonts w:ascii="宋体" w:eastAsia="宋体" w:hAnsi="宋体" w:cs="宋体"/>
                <w:sz w:val="24"/>
                <w:szCs w:val="24"/>
              </w:rPr>
              <w:t>20</w:t>
            </w:r>
            <w:r w:rsidR="008416E3" w:rsidRPr="008416E3">
              <w:rPr>
                <w:rFonts w:ascii="宋体" w:eastAsia="宋体" w:hAnsi="宋体" w:cs="宋体" w:hint="eastAsia"/>
                <w:sz w:val="24"/>
                <w:szCs w:val="24"/>
              </w:rPr>
              <w:t>倍，混合动力汽车中锂电池混合动力汽车将会增长</w:t>
            </w:r>
            <w:r w:rsidR="008416E3" w:rsidRPr="008416E3">
              <w:rPr>
                <w:rFonts w:ascii="宋体" w:eastAsia="宋体" w:hAnsi="宋体" w:cs="宋体"/>
                <w:sz w:val="24"/>
                <w:szCs w:val="24"/>
              </w:rPr>
              <w:t>13</w:t>
            </w:r>
            <w:r w:rsidR="008416E3" w:rsidRPr="008416E3">
              <w:rPr>
                <w:rFonts w:ascii="宋体" w:eastAsia="宋体" w:hAnsi="宋体" w:cs="宋体" w:hint="eastAsia"/>
                <w:sz w:val="24"/>
                <w:szCs w:val="24"/>
              </w:rPr>
              <w:t>倍达到</w:t>
            </w:r>
            <w:r w:rsidR="008416E3" w:rsidRPr="008416E3">
              <w:rPr>
                <w:rFonts w:ascii="宋体" w:eastAsia="宋体" w:hAnsi="宋体" w:cs="宋体"/>
                <w:sz w:val="24"/>
                <w:szCs w:val="24"/>
              </w:rPr>
              <w:t>236</w:t>
            </w:r>
            <w:r w:rsidR="008416E3" w:rsidRPr="008416E3">
              <w:rPr>
                <w:rFonts w:ascii="宋体" w:eastAsia="宋体" w:hAnsi="宋体" w:cs="宋体" w:hint="eastAsia"/>
                <w:sz w:val="24"/>
                <w:szCs w:val="24"/>
              </w:rPr>
              <w:t>万辆。</w:t>
            </w:r>
          </w:p>
          <w:p w14:paraId="6F69AFC8" w14:textId="31D29704" w:rsidR="00755C2A" w:rsidRDefault="008416E3" w:rsidP="008416E3">
            <w:pPr>
              <w:snapToGrid w:val="0"/>
              <w:spacing w:after="0" w:line="360" w:lineRule="auto"/>
              <w:jc w:val="both"/>
              <w:rPr>
                <w:rFonts w:ascii="宋体" w:eastAsia="宋体" w:hAnsi="宋体" w:cs="宋体"/>
                <w:sz w:val="24"/>
                <w:szCs w:val="24"/>
              </w:rPr>
            </w:pPr>
            <w:r w:rsidRPr="008416E3">
              <w:rPr>
                <w:rFonts w:ascii="宋体" w:eastAsia="宋体" w:hAnsi="宋体" w:cs="宋体" w:hint="eastAsia"/>
                <w:sz w:val="24"/>
                <w:szCs w:val="24"/>
              </w:rPr>
              <w:t>全球动力电池需求量快速攀升，根据</w:t>
            </w:r>
            <w:r w:rsidRPr="008416E3">
              <w:rPr>
                <w:rFonts w:ascii="宋体" w:eastAsia="宋体" w:hAnsi="宋体" w:cs="宋体"/>
                <w:sz w:val="24"/>
                <w:szCs w:val="24"/>
              </w:rPr>
              <w:t>UBS</w:t>
            </w:r>
            <w:r w:rsidRPr="008416E3">
              <w:rPr>
                <w:rFonts w:ascii="宋体" w:eastAsia="宋体" w:hAnsi="宋体" w:cs="宋体" w:hint="eastAsia"/>
                <w:sz w:val="24"/>
                <w:szCs w:val="24"/>
              </w:rPr>
              <w:t>的最新报告，</w:t>
            </w:r>
            <w:r w:rsidRPr="008416E3">
              <w:rPr>
                <w:rFonts w:ascii="宋体" w:eastAsia="宋体" w:hAnsi="宋体" w:cs="宋体"/>
                <w:sz w:val="24"/>
                <w:szCs w:val="24"/>
              </w:rPr>
              <w:t>2018</w:t>
            </w:r>
            <w:r w:rsidRPr="008416E3">
              <w:rPr>
                <w:rFonts w:ascii="宋体" w:eastAsia="宋体" w:hAnsi="宋体" w:cs="宋体" w:hint="eastAsia"/>
                <w:sz w:val="24"/>
                <w:szCs w:val="24"/>
              </w:rPr>
              <w:t>年，全球动力电池总需求为</w:t>
            </w:r>
            <w:r w:rsidRPr="008416E3">
              <w:rPr>
                <w:rFonts w:ascii="宋体" w:eastAsia="宋体" w:hAnsi="宋体" w:cs="宋体"/>
                <w:sz w:val="24"/>
                <w:szCs w:val="24"/>
              </w:rPr>
              <w:t>93GWh</w:t>
            </w:r>
            <w:r w:rsidRPr="008416E3">
              <w:rPr>
                <w:rFonts w:ascii="宋体" w:eastAsia="宋体" w:hAnsi="宋体" w:cs="宋体" w:hint="eastAsia"/>
                <w:sz w:val="24"/>
                <w:szCs w:val="24"/>
              </w:rPr>
              <w:t>，基于</w:t>
            </w:r>
            <w:r w:rsidRPr="008416E3">
              <w:rPr>
                <w:rFonts w:ascii="宋体" w:eastAsia="宋体" w:hAnsi="宋体" w:cs="宋体"/>
                <w:sz w:val="24"/>
                <w:szCs w:val="24"/>
              </w:rPr>
              <w:t>2025</w:t>
            </w:r>
            <w:r w:rsidRPr="008416E3">
              <w:rPr>
                <w:rFonts w:ascii="宋体" w:eastAsia="宋体" w:hAnsi="宋体" w:cs="宋体" w:hint="eastAsia"/>
                <w:sz w:val="24"/>
                <w:szCs w:val="24"/>
              </w:rPr>
              <w:t>年全球新能源电动汽车销量</w:t>
            </w:r>
            <w:r w:rsidRPr="008416E3">
              <w:rPr>
                <w:rFonts w:ascii="宋体" w:eastAsia="宋体" w:hAnsi="宋体" w:cs="宋体"/>
                <w:sz w:val="24"/>
                <w:szCs w:val="24"/>
              </w:rPr>
              <w:t>1,750</w:t>
            </w:r>
            <w:r w:rsidRPr="008416E3">
              <w:rPr>
                <w:rFonts w:ascii="宋体" w:eastAsia="宋体" w:hAnsi="宋体" w:cs="宋体" w:hint="eastAsia"/>
                <w:sz w:val="24"/>
                <w:szCs w:val="24"/>
              </w:rPr>
              <w:t>万辆假设，预计至</w:t>
            </w:r>
            <w:r w:rsidRPr="008416E3">
              <w:rPr>
                <w:rFonts w:ascii="宋体" w:eastAsia="宋体" w:hAnsi="宋体" w:cs="宋体"/>
                <w:sz w:val="24"/>
                <w:szCs w:val="24"/>
              </w:rPr>
              <w:t>2025</w:t>
            </w:r>
            <w:r w:rsidRPr="008416E3">
              <w:rPr>
                <w:rFonts w:ascii="宋体" w:eastAsia="宋体" w:hAnsi="宋体" w:cs="宋体" w:hint="eastAsia"/>
                <w:sz w:val="24"/>
                <w:szCs w:val="24"/>
              </w:rPr>
              <w:t>年需求量将接近</w:t>
            </w:r>
            <w:r w:rsidRPr="008416E3">
              <w:rPr>
                <w:rFonts w:ascii="宋体" w:eastAsia="宋体" w:hAnsi="宋体" w:cs="宋体"/>
                <w:sz w:val="24"/>
                <w:szCs w:val="24"/>
              </w:rPr>
              <w:t>1,000GWh</w:t>
            </w:r>
            <w:r w:rsidRPr="008416E3">
              <w:rPr>
                <w:rFonts w:ascii="宋体" w:eastAsia="宋体" w:hAnsi="宋体" w:cs="宋体" w:hint="eastAsia"/>
                <w:sz w:val="24"/>
                <w:szCs w:val="24"/>
              </w:rPr>
              <w:t>。市场规模方面，全球锂离子电池行业</w:t>
            </w:r>
            <w:r w:rsidRPr="008416E3">
              <w:rPr>
                <w:rFonts w:ascii="宋体" w:eastAsia="宋体" w:hAnsi="宋体" w:cs="宋体"/>
                <w:sz w:val="24"/>
                <w:szCs w:val="24"/>
              </w:rPr>
              <w:t>2018</w:t>
            </w:r>
            <w:r w:rsidRPr="008416E3">
              <w:rPr>
                <w:rFonts w:ascii="宋体" w:eastAsia="宋体" w:hAnsi="宋体" w:cs="宋体" w:hint="eastAsia"/>
                <w:sz w:val="24"/>
                <w:szCs w:val="24"/>
              </w:rPr>
              <w:t>年实现营业收入</w:t>
            </w:r>
            <w:r w:rsidRPr="008416E3">
              <w:rPr>
                <w:rFonts w:ascii="宋体" w:eastAsia="宋体" w:hAnsi="宋体" w:cs="宋体"/>
                <w:sz w:val="24"/>
                <w:szCs w:val="24"/>
              </w:rPr>
              <w:t>230</w:t>
            </w:r>
            <w:r w:rsidRPr="008416E3">
              <w:rPr>
                <w:rFonts w:ascii="宋体" w:eastAsia="宋体" w:hAnsi="宋体" w:cs="宋体" w:hint="eastAsia"/>
                <w:sz w:val="24"/>
                <w:szCs w:val="24"/>
              </w:rPr>
              <w:t>亿美元，预计至</w:t>
            </w:r>
            <w:r w:rsidRPr="008416E3">
              <w:rPr>
                <w:rFonts w:ascii="宋体" w:eastAsia="宋体" w:hAnsi="宋体" w:cs="宋体"/>
                <w:sz w:val="24"/>
                <w:szCs w:val="24"/>
              </w:rPr>
              <w:t>2025</w:t>
            </w:r>
            <w:r w:rsidRPr="008416E3">
              <w:rPr>
                <w:rFonts w:ascii="宋体" w:eastAsia="宋体" w:hAnsi="宋体" w:cs="宋体" w:hint="eastAsia"/>
                <w:sz w:val="24"/>
                <w:szCs w:val="24"/>
              </w:rPr>
              <w:t>年将增长至</w:t>
            </w:r>
            <w:r w:rsidRPr="008416E3">
              <w:rPr>
                <w:rFonts w:ascii="宋体" w:eastAsia="宋体" w:hAnsi="宋体" w:cs="宋体"/>
                <w:sz w:val="24"/>
                <w:szCs w:val="24"/>
              </w:rPr>
              <w:t>840</w:t>
            </w:r>
            <w:r w:rsidRPr="008416E3">
              <w:rPr>
                <w:rFonts w:ascii="宋体" w:eastAsia="宋体" w:hAnsi="宋体" w:cs="宋体" w:hint="eastAsia"/>
                <w:sz w:val="24"/>
                <w:szCs w:val="24"/>
              </w:rPr>
              <w:t>亿美元，为</w:t>
            </w:r>
            <w:r w:rsidRPr="008416E3">
              <w:rPr>
                <w:rFonts w:ascii="宋体" w:eastAsia="宋体" w:hAnsi="宋体" w:cs="宋体"/>
                <w:sz w:val="24"/>
                <w:szCs w:val="24"/>
              </w:rPr>
              <w:t xml:space="preserve">2018 </w:t>
            </w:r>
            <w:r w:rsidRPr="008416E3">
              <w:rPr>
                <w:rFonts w:ascii="宋体" w:eastAsia="宋体" w:hAnsi="宋体" w:cs="宋体" w:hint="eastAsia"/>
                <w:sz w:val="24"/>
                <w:szCs w:val="24"/>
              </w:rPr>
              <w:t>年的</w:t>
            </w:r>
            <w:r w:rsidRPr="008416E3">
              <w:rPr>
                <w:rFonts w:ascii="宋体" w:eastAsia="宋体" w:hAnsi="宋体" w:cs="宋体"/>
                <w:sz w:val="24"/>
                <w:szCs w:val="24"/>
              </w:rPr>
              <w:t>3.65</w:t>
            </w:r>
            <w:r w:rsidRPr="008416E3">
              <w:rPr>
                <w:rFonts w:ascii="宋体" w:eastAsia="宋体" w:hAnsi="宋体" w:cs="宋体" w:hint="eastAsia"/>
                <w:sz w:val="24"/>
                <w:szCs w:val="24"/>
              </w:rPr>
              <w:t>倍。</w:t>
            </w:r>
          </w:p>
          <w:p w14:paraId="44899141" w14:textId="77777777" w:rsidR="00755C2A" w:rsidRPr="00755C2A" w:rsidRDefault="00755C2A" w:rsidP="00A2032F">
            <w:pPr>
              <w:snapToGrid w:val="0"/>
              <w:spacing w:after="0" w:line="360" w:lineRule="auto"/>
              <w:jc w:val="both"/>
              <w:rPr>
                <w:rFonts w:ascii="宋体" w:eastAsia="宋体" w:hAnsi="宋体" w:cs="宋体"/>
                <w:sz w:val="24"/>
                <w:szCs w:val="24"/>
              </w:rPr>
            </w:pPr>
          </w:p>
          <w:p w14:paraId="6C963F5B" w14:textId="637AFCDB" w:rsidR="00E87677" w:rsidRDefault="00312BFB" w:rsidP="00A2032F">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w:t>
            </w:r>
            <w:r w:rsidR="008E6FFF">
              <w:rPr>
                <w:rFonts w:ascii="宋体" w:eastAsia="宋体" w:hAnsi="宋体" w:cs="宋体" w:hint="eastAsia"/>
                <w:sz w:val="24"/>
                <w:szCs w:val="24"/>
              </w:rPr>
              <w:t>5</w:t>
            </w:r>
            <w:r w:rsidRPr="00312BFB">
              <w:rPr>
                <w:rFonts w:ascii="宋体" w:eastAsia="宋体" w:hAnsi="宋体" w:cs="宋体" w:hint="eastAsia"/>
                <w:sz w:val="24"/>
                <w:szCs w:val="24"/>
              </w:rPr>
              <w:t>：</w:t>
            </w:r>
            <w:r w:rsidR="008416E3" w:rsidRPr="008416E3">
              <w:rPr>
                <w:rFonts w:ascii="宋体" w:eastAsia="宋体" w:hAnsi="宋体" w:cs="宋体" w:hint="eastAsia"/>
                <w:sz w:val="24"/>
                <w:szCs w:val="24"/>
              </w:rPr>
              <w:t>请问</w:t>
            </w:r>
            <w:r w:rsidR="008416E3">
              <w:rPr>
                <w:rFonts w:ascii="宋体" w:eastAsia="宋体" w:hAnsi="宋体" w:cs="宋体" w:hint="eastAsia"/>
                <w:sz w:val="24"/>
                <w:szCs w:val="24"/>
              </w:rPr>
              <w:t>锂离子电池</w:t>
            </w:r>
            <w:r w:rsidR="008416E3" w:rsidRPr="008416E3">
              <w:rPr>
                <w:rFonts w:ascii="宋体" w:eastAsia="宋体" w:hAnsi="宋体" w:cs="宋体" w:hint="eastAsia"/>
                <w:sz w:val="24"/>
                <w:szCs w:val="24"/>
              </w:rPr>
              <w:t>后处理系统的核心技术难点有哪些？</w:t>
            </w:r>
          </w:p>
          <w:p w14:paraId="5B09709B" w14:textId="55ED7745" w:rsidR="009C480E" w:rsidRDefault="00A2032F" w:rsidP="00674A2B">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C81363" w:rsidRPr="00C81363">
              <w:rPr>
                <w:rFonts w:ascii="宋体" w:eastAsia="宋体" w:hAnsi="宋体" w:cs="宋体" w:hint="eastAsia"/>
                <w:sz w:val="24"/>
                <w:szCs w:val="24"/>
              </w:rPr>
              <w:t>您好，</w:t>
            </w:r>
            <w:r w:rsidR="008416E3" w:rsidRPr="008416E3">
              <w:rPr>
                <w:rFonts w:ascii="宋体" w:eastAsia="宋体" w:hAnsi="宋体" w:cs="宋体" w:hint="eastAsia"/>
                <w:sz w:val="24"/>
                <w:szCs w:val="24"/>
              </w:rPr>
              <w:t>后处理系统的核心技术难点主要为：（</w:t>
            </w:r>
            <w:r w:rsidR="008416E3" w:rsidRPr="008416E3">
              <w:rPr>
                <w:rFonts w:ascii="宋体" w:eastAsia="宋体" w:hAnsi="宋体" w:cs="宋体"/>
                <w:sz w:val="24"/>
                <w:szCs w:val="24"/>
              </w:rPr>
              <w:t>1</w:t>
            </w:r>
            <w:r w:rsidR="008416E3" w:rsidRPr="008416E3">
              <w:rPr>
                <w:rFonts w:ascii="宋体" w:eastAsia="宋体" w:hAnsi="宋体" w:cs="宋体" w:hint="eastAsia"/>
                <w:sz w:val="24"/>
                <w:szCs w:val="24"/>
              </w:rPr>
              <w:t>）能否适应多种电池类型需求，当前主流的锂离子电池类型主要有四种：消费类软包电池、动力软包电池、动力方形电池、圆柱电池。以上四种电池类型中的每一种又包含了多种不同的电池规格。因此后处理系统的设计是否丰富，是否具备针对不同电池类型特点的特殊技术改进，或者设备是否具备可通用性，是后处理系统技术领域的核心技术难点。（</w:t>
            </w:r>
            <w:r w:rsidR="008416E3" w:rsidRPr="008416E3">
              <w:rPr>
                <w:rFonts w:ascii="宋体" w:eastAsia="宋体" w:hAnsi="宋体" w:cs="宋体"/>
                <w:sz w:val="24"/>
                <w:szCs w:val="24"/>
              </w:rPr>
              <w:t>2</w:t>
            </w:r>
            <w:r w:rsidR="008416E3" w:rsidRPr="008416E3">
              <w:rPr>
                <w:rFonts w:ascii="宋体" w:eastAsia="宋体" w:hAnsi="宋体" w:cs="宋体" w:hint="eastAsia"/>
                <w:sz w:val="24"/>
                <w:szCs w:val="24"/>
              </w:rPr>
              <w:t>）能否适应多种充放电工艺，不同类型的电池、不同的电池制造商具有不同的后处理生产工艺要求，例如除了常温条件下的充放电工艺外，与方形电池相关的有独特的负压化成工艺和拘束模式充放电工艺，与软包电池相关的有高温加压充放电工艺、恒温充放电工艺等。是否能够充分满足电池制造商的各类型独特的充放电工艺要求，也是后处理系统技术领域的核心技术难点。（</w:t>
            </w:r>
            <w:r w:rsidR="008416E3" w:rsidRPr="008416E3">
              <w:rPr>
                <w:rFonts w:ascii="宋体" w:eastAsia="宋体" w:hAnsi="宋体" w:cs="宋体"/>
                <w:sz w:val="24"/>
                <w:szCs w:val="24"/>
              </w:rPr>
              <w:t>3</w:t>
            </w:r>
            <w:r w:rsidR="008416E3" w:rsidRPr="008416E3">
              <w:rPr>
                <w:rFonts w:ascii="宋体" w:eastAsia="宋体" w:hAnsi="宋体" w:cs="宋体" w:hint="eastAsia"/>
                <w:sz w:val="24"/>
                <w:szCs w:val="24"/>
              </w:rPr>
              <w:t>）运用能量回收技术的同时保证高精度，近年来，锂电池后处理设备的能量回收功能日益受到锂电池生产商的青睐，因此实现能量回收功能的高频</w:t>
            </w:r>
            <w:r w:rsidR="008416E3" w:rsidRPr="008416E3">
              <w:rPr>
                <w:rFonts w:ascii="宋体" w:eastAsia="宋体" w:hAnsi="宋体" w:cs="宋体"/>
                <w:sz w:val="24"/>
                <w:szCs w:val="24"/>
              </w:rPr>
              <w:t>PWM</w:t>
            </w:r>
            <w:r w:rsidR="008416E3" w:rsidRPr="008416E3">
              <w:rPr>
                <w:rFonts w:ascii="宋体" w:eastAsia="宋体" w:hAnsi="宋体" w:cs="宋体" w:hint="eastAsia"/>
                <w:sz w:val="24"/>
                <w:szCs w:val="24"/>
              </w:rPr>
              <w:t>变流技术（开关型充放电技术）的市场应用日益广阔，但由于技术本身的原因，开关型充放电技术通常比传统的线性充放电技术的检测及控制精度要低，因此如何在运用能量回收技术的同时保证高检测及控制精度，是一个核心技术难点。（</w:t>
            </w:r>
            <w:r w:rsidR="008416E3" w:rsidRPr="008416E3">
              <w:rPr>
                <w:rFonts w:ascii="宋体" w:eastAsia="宋体" w:hAnsi="宋体" w:cs="宋体"/>
                <w:sz w:val="24"/>
                <w:szCs w:val="24"/>
              </w:rPr>
              <w:t>4</w:t>
            </w:r>
            <w:r w:rsidR="008416E3" w:rsidRPr="008416E3">
              <w:rPr>
                <w:rFonts w:ascii="宋体" w:eastAsia="宋体" w:hAnsi="宋体" w:cs="宋体" w:hint="eastAsia"/>
                <w:sz w:val="24"/>
                <w:szCs w:val="24"/>
              </w:rPr>
              <w:t>）信息处理技术的有效运用，在现代化电池生产过程中，电池后处理过程中每个电池的工艺参数、测试条件、过程数据和测试结果都需要记录、存储、分析，并反馈至生产线以调整配置参数来促进有效生产。在后处理系统中，路径规划、任务调度、过程监控也需要实时处理大量的数</w:t>
            </w:r>
            <w:r w:rsidR="008416E3" w:rsidRPr="008416E3">
              <w:rPr>
                <w:rFonts w:ascii="宋体" w:eastAsia="宋体" w:hAnsi="宋体" w:cs="宋体" w:hint="eastAsia"/>
                <w:sz w:val="24"/>
                <w:szCs w:val="24"/>
              </w:rPr>
              <w:lastRenderedPageBreak/>
              <w:t>据，因此后处理系统与上位系统（</w:t>
            </w:r>
            <w:r w:rsidR="008416E3" w:rsidRPr="008416E3">
              <w:rPr>
                <w:rFonts w:ascii="宋体" w:eastAsia="宋体" w:hAnsi="宋体" w:cs="宋体"/>
                <w:sz w:val="24"/>
                <w:szCs w:val="24"/>
              </w:rPr>
              <w:t>MES</w:t>
            </w:r>
            <w:r w:rsidR="008416E3" w:rsidRPr="008416E3">
              <w:rPr>
                <w:rFonts w:ascii="宋体" w:eastAsia="宋体" w:hAnsi="宋体" w:cs="宋体" w:hint="eastAsia"/>
                <w:sz w:val="24"/>
                <w:szCs w:val="24"/>
              </w:rPr>
              <w:t>）指令交互和数据上传十分重要。如何使得各个系统相互稳定协作，数据反馈、数据处理更为无人化、智能化，也是一个后处理系统技术领域的核心技术难点。（</w:t>
            </w:r>
            <w:r w:rsidR="008416E3" w:rsidRPr="008416E3">
              <w:rPr>
                <w:rFonts w:ascii="宋体" w:eastAsia="宋体" w:hAnsi="宋体" w:cs="宋体"/>
                <w:sz w:val="24"/>
                <w:szCs w:val="24"/>
              </w:rPr>
              <w:t>5</w:t>
            </w:r>
            <w:r w:rsidR="008416E3" w:rsidRPr="008416E3">
              <w:rPr>
                <w:rFonts w:ascii="宋体" w:eastAsia="宋体" w:hAnsi="宋体" w:cs="宋体" w:hint="eastAsia"/>
                <w:sz w:val="24"/>
                <w:szCs w:val="24"/>
              </w:rPr>
              <w:t>）全自动后处理系统解决方案的成熟程度，随着锂电池产业的持续发展，适应于大规模、高品质和低成本锂电池制造方式是必由之路，全自动后处理系统解决方案是最佳选择。成熟程度高的后处理系统的基本特征是：安全性高、能耗低、稳定性优、高效率运行、低投入成本和低运行成本。一个成熟的后处理系统解决方案不仅取决于各构成设备和子系统的成熟程度，同时还取决于后处理设备厂商的系统集成的能力和实际项目经验。</w:t>
            </w:r>
          </w:p>
          <w:p w14:paraId="6F42EBFC" w14:textId="77777777" w:rsidR="007F6F71" w:rsidRDefault="007F6F71" w:rsidP="003F27F2">
            <w:pPr>
              <w:snapToGrid w:val="0"/>
              <w:spacing w:after="0" w:line="360" w:lineRule="auto"/>
              <w:jc w:val="both"/>
              <w:rPr>
                <w:rFonts w:ascii="宋体" w:eastAsia="宋体" w:hAnsi="宋体" w:cs="宋体"/>
                <w:sz w:val="24"/>
                <w:szCs w:val="24"/>
              </w:rPr>
            </w:pPr>
          </w:p>
          <w:p w14:paraId="55F3A3D1" w14:textId="77777777" w:rsidR="002D0456" w:rsidRPr="00C81363" w:rsidRDefault="00312BFB" w:rsidP="00674A2B">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接待过程中，公司与投资者进行了充分的交流与沟通，并严格按照公司《</w:t>
            </w:r>
            <w:r w:rsidR="00674A2B">
              <w:rPr>
                <w:rFonts w:ascii="宋体" w:eastAsia="宋体" w:hAnsi="宋体" w:cs="宋体" w:hint="eastAsia"/>
                <w:sz w:val="24"/>
                <w:szCs w:val="24"/>
              </w:rPr>
              <w:t>媒体采访和投资者调研接待办法</w:t>
            </w:r>
            <w:r w:rsidRPr="00312BFB">
              <w:rPr>
                <w:rFonts w:ascii="宋体" w:eastAsia="宋体" w:hAnsi="宋体" w:cs="宋体" w:hint="eastAsia"/>
                <w:sz w:val="24"/>
                <w:szCs w:val="24"/>
              </w:rPr>
              <w:t>》等规定，保证信息披露的真实、准确、完整、及时、公平。没有出现未公开重大信息泄露等情况，同时要求签署调研《承诺书》。</w:t>
            </w:r>
          </w:p>
        </w:tc>
      </w:tr>
      <w:tr w:rsidR="00595828" w:rsidRPr="00843759" w14:paraId="10062DF7"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05055F2B" w14:textId="77777777"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lastRenderedPageBreak/>
              <w:t>附件清单（如有）</w:t>
            </w:r>
          </w:p>
        </w:tc>
        <w:tc>
          <w:tcPr>
            <w:tcW w:w="7876" w:type="dxa"/>
            <w:tcBorders>
              <w:top w:val="single" w:sz="4" w:space="0" w:color="000000"/>
              <w:left w:val="single" w:sz="4" w:space="0" w:color="000000"/>
              <w:bottom w:val="single" w:sz="4" w:space="0" w:color="000000"/>
              <w:right w:val="single" w:sz="4" w:space="0" w:color="000000"/>
            </w:tcBorders>
            <w:vAlign w:val="bottom"/>
          </w:tcPr>
          <w:p w14:paraId="3A209BCF" w14:textId="77777777" w:rsidR="00595828" w:rsidRPr="00843759" w:rsidRDefault="00595828" w:rsidP="00843759">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595828" w:rsidRPr="00843759" w14:paraId="6135A197"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581E276F" w14:textId="77777777"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t>日期</w:t>
            </w:r>
          </w:p>
        </w:tc>
        <w:tc>
          <w:tcPr>
            <w:tcW w:w="7876" w:type="dxa"/>
            <w:tcBorders>
              <w:top w:val="single" w:sz="4" w:space="0" w:color="000000"/>
              <w:left w:val="single" w:sz="4" w:space="0" w:color="000000"/>
              <w:bottom w:val="single" w:sz="4" w:space="0" w:color="000000"/>
              <w:right w:val="single" w:sz="4" w:space="0" w:color="000000"/>
            </w:tcBorders>
            <w:vAlign w:val="bottom"/>
          </w:tcPr>
          <w:p w14:paraId="17DBAAD6" w14:textId="51939341" w:rsidR="00595828" w:rsidRPr="00843759" w:rsidRDefault="007F6F71" w:rsidP="00843759">
            <w:pPr>
              <w:snapToGrid w:val="0"/>
              <w:spacing w:after="0" w:line="360" w:lineRule="auto"/>
              <w:rPr>
                <w:rFonts w:ascii="宋体" w:eastAsia="宋体" w:hAnsi="宋体" w:cs="宋体"/>
                <w:sz w:val="24"/>
                <w:szCs w:val="24"/>
              </w:rPr>
            </w:pPr>
            <w:r w:rsidRPr="00843759">
              <w:rPr>
                <w:rFonts w:ascii="宋体" w:eastAsia="宋体" w:hAnsi="宋体" w:hint="eastAsia"/>
                <w:sz w:val="24"/>
                <w:szCs w:val="24"/>
              </w:rPr>
              <w:t>2</w:t>
            </w:r>
            <w:r w:rsidRPr="00843759">
              <w:rPr>
                <w:rFonts w:ascii="宋体" w:eastAsia="宋体" w:hAnsi="宋体"/>
                <w:sz w:val="24"/>
                <w:szCs w:val="24"/>
              </w:rPr>
              <w:t>0</w:t>
            </w:r>
            <w:r>
              <w:rPr>
                <w:rFonts w:ascii="宋体" w:eastAsia="宋体" w:hAnsi="宋体" w:hint="eastAsia"/>
                <w:sz w:val="24"/>
                <w:szCs w:val="24"/>
              </w:rPr>
              <w:t>20</w:t>
            </w:r>
            <w:r w:rsidRPr="00843759">
              <w:rPr>
                <w:rFonts w:ascii="宋体" w:eastAsia="宋体" w:hAnsi="宋体" w:hint="eastAsia"/>
                <w:sz w:val="24"/>
                <w:szCs w:val="24"/>
              </w:rPr>
              <w:t>年</w:t>
            </w:r>
            <w:r w:rsidR="008416E3">
              <w:rPr>
                <w:rFonts w:ascii="宋体" w:eastAsia="宋体" w:hAnsi="宋体" w:hint="eastAsia"/>
                <w:sz w:val="24"/>
                <w:szCs w:val="24"/>
              </w:rPr>
              <w:t>6</w:t>
            </w:r>
            <w:r>
              <w:rPr>
                <w:rFonts w:ascii="宋体" w:eastAsia="宋体" w:hAnsi="宋体" w:hint="eastAsia"/>
                <w:sz w:val="24"/>
                <w:szCs w:val="24"/>
              </w:rPr>
              <w:t>月</w:t>
            </w:r>
            <w:r w:rsidR="008416E3">
              <w:rPr>
                <w:rFonts w:ascii="宋体" w:eastAsia="宋体" w:hAnsi="宋体" w:hint="eastAsia"/>
                <w:sz w:val="24"/>
                <w:szCs w:val="24"/>
              </w:rPr>
              <w:t>11</w:t>
            </w:r>
            <w:r>
              <w:rPr>
                <w:rFonts w:ascii="宋体" w:eastAsia="宋体" w:hAnsi="宋体" w:hint="eastAsia"/>
                <w:sz w:val="24"/>
                <w:szCs w:val="24"/>
              </w:rPr>
              <w:t>日</w:t>
            </w:r>
          </w:p>
        </w:tc>
      </w:tr>
    </w:tbl>
    <w:p w14:paraId="6185137E" w14:textId="77777777" w:rsidR="00595828" w:rsidRPr="00595828" w:rsidRDefault="00595828">
      <w:pPr>
        <w:spacing w:after="0"/>
        <w:jc w:val="both"/>
        <w:rPr>
          <w:rFonts w:eastAsiaTheme="minorEastAsia"/>
        </w:rPr>
      </w:pPr>
    </w:p>
    <w:sectPr w:rsidR="00595828" w:rsidRPr="00595828">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97C95" w14:textId="77777777" w:rsidR="00A55064" w:rsidRDefault="00A55064" w:rsidP="00595828">
      <w:pPr>
        <w:spacing w:after="0" w:line="240" w:lineRule="auto"/>
      </w:pPr>
      <w:r>
        <w:separator/>
      </w:r>
    </w:p>
  </w:endnote>
  <w:endnote w:type="continuationSeparator" w:id="0">
    <w:p w14:paraId="6F4E77A2" w14:textId="77777777" w:rsidR="00A55064" w:rsidRDefault="00A55064" w:rsidP="0059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1CDA6" w14:textId="77777777" w:rsidR="00A55064" w:rsidRDefault="00A55064" w:rsidP="00595828">
      <w:pPr>
        <w:spacing w:after="0" w:line="240" w:lineRule="auto"/>
      </w:pPr>
      <w:r>
        <w:separator/>
      </w:r>
    </w:p>
  </w:footnote>
  <w:footnote w:type="continuationSeparator" w:id="0">
    <w:p w14:paraId="7FD07FA4" w14:textId="77777777" w:rsidR="00A55064" w:rsidRDefault="00A55064" w:rsidP="00595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119B9"/>
    <w:multiLevelType w:val="multilevel"/>
    <w:tmpl w:val="1A6119B9"/>
    <w:lvl w:ilvl="0">
      <w:start w:val="1"/>
      <w:numFmt w:val="decimal"/>
      <w:lvlText w:val="%1."/>
      <w:lvlJc w:val="left"/>
      <w:pPr>
        <w:ind w:left="420" w:hanging="420"/>
      </w:pPr>
      <w:rPr>
        <w:b/>
        <w:sz w:val="24"/>
        <w:szCs w:val="24"/>
      </w:rPr>
    </w:lvl>
    <w:lvl w:ilvl="1">
      <w:start w:val="100"/>
      <w:numFmt w:val="decimal"/>
      <w:lvlText w:val="%2．"/>
      <w:lvlJc w:val="left"/>
      <w:pPr>
        <w:ind w:left="1035" w:hanging="615"/>
      </w:pPr>
      <w:rPr>
        <w:rFonts w:hint="default"/>
      </w:rPr>
    </w:lvl>
    <w:lvl w:ilvl="2">
      <w:start w:val="1"/>
      <w:numFmt w:val="decimal"/>
      <w:lvlText w:val="（%3）"/>
      <w:lvlJc w:val="left"/>
      <w:pPr>
        <w:ind w:left="1560" w:hanging="720"/>
      </w:pPr>
      <w:rPr>
        <w:rFonts w:eastAsia="黑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24CEE"/>
    <w:rsid w:val="00030199"/>
    <w:rsid w:val="0004202C"/>
    <w:rsid w:val="000453C6"/>
    <w:rsid w:val="000668A8"/>
    <w:rsid w:val="000876CF"/>
    <w:rsid w:val="000C06D7"/>
    <w:rsid w:val="001150FA"/>
    <w:rsid w:val="00157EE6"/>
    <w:rsid w:val="001817E4"/>
    <w:rsid w:val="00190ECB"/>
    <w:rsid w:val="001C37A6"/>
    <w:rsid w:val="001E625A"/>
    <w:rsid w:val="001E7630"/>
    <w:rsid w:val="0023201F"/>
    <w:rsid w:val="0026533B"/>
    <w:rsid w:val="002704C2"/>
    <w:rsid w:val="00283172"/>
    <w:rsid w:val="002A3115"/>
    <w:rsid w:val="002D0456"/>
    <w:rsid w:val="002D4173"/>
    <w:rsid w:val="00301D5F"/>
    <w:rsid w:val="00312BFB"/>
    <w:rsid w:val="00325820"/>
    <w:rsid w:val="00365953"/>
    <w:rsid w:val="0038677B"/>
    <w:rsid w:val="003A1A21"/>
    <w:rsid w:val="003B3CBA"/>
    <w:rsid w:val="003F27F2"/>
    <w:rsid w:val="00410E01"/>
    <w:rsid w:val="00437CCB"/>
    <w:rsid w:val="00451658"/>
    <w:rsid w:val="0049465C"/>
    <w:rsid w:val="004C1FD6"/>
    <w:rsid w:val="004D224A"/>
    <w:rsid w:val="004F7FB6"/>
    <w:rsid w:val="00506021"/>
    <w:rsid w:val="00582743"/>
    <w:rsid w:val="005859AA"/>
    <w:rsid w:val="0059299D"/>
    <w:rsid w:val="00595828"/>
    <w:rsid w:val="005A2882"/>
    <w:rsid w:val="005A2966"/>
    <w:rsid w:val="005B0772"/>
    <w:rsid w:val="005C7492"/>
    <w:rsid w:val="005E72D0"/>
    <w:rsid w:val="006014DF"/>
    <w:rsid w:val="00670353"/>
    <w:rsid w:val="00674A2B"/>
    <w:rsid w:val="006B6CCA"/>
    <w:rsid w:val="006C7F0F"/>
    <w:rsid w:val="00706E8A"/>
    <w:rsid w:val="00713FCD"/>
    <w:rsid w:val="007323AE"/>
    <w:rsid w:val="00734DFA"/>
    <w:rsid w:val="00755C2A"/>
    <w:rsid w:val="00762561"/>
    <w:rsid w:val="00766FE7"/>
    <w:rsid w:val="0077521E"/>
    <w:rsid w:val="007B27D7"/>
    <w:rsid w:val="007C0333"/>
    <w:rsid w:val="007C3603"/>
    <w:rsid w:val="007D124A"/>
    <w:rsid w:val="007F6F71"/>
    <w:rsid w:val="00830857"/>
    <w:rsid w:val="008416E3"/>
    <w:rsid w:val="00843759"/>
    <w:rsid w:val="00864D27"/>
    <w:rsid w:val="00866DE4"/>
    <w:rsid w:val="00892B75"/>
    <w:rsid w:val="008A3216"/>
    <w:rsid w:val="008A42A4"/>
    <w:rsid w:val="008E6FFF"/>
    <w:rsid w:val="008F6D9F"/>
    <w:rsid w:val="00923755"/>
    <w:rsid w:val="00924238"/>
    <w:rsid w:val="0093056E"/>
    <w:rsid w:val="00956BF8"/>
    <w:rsid w:val="00991BB8"/>
    <w:rsid w:val="009C480E"/>
    <w:rsid w:val="009D29E1"/>
    <w:rsid w:val="009E6D3B"/>
    <w:rsid w:val="009F6973"/>
    <w:rsid w:val="00A2032F"/>
    <w:rsid w:val="00A54DA5"/>
    <w:rsid w:val="00A55064"/>
    <w:rsid w:val="00A74B63"/>
    <w:rsid w:val="00A93DD2"/>
    <w:rsid w:val="00AD2185"/>
    <w:rsid w:val="00AD5AEE"/>
    <w:rsid w:val="00AE3476"/>
    <w:rsid w:val="00AE73A6"/>
    <w:rsid w:val="00B22BF6"/>
    <w:rsid w:val="00B30DDA"/>
    <w:rsid w:val="00B65D83"/>
    <w:rsid w:val="00B71C85"/>
    <w:rsid w:val="00BC62ED"/>
    <w:rsid w:val="00BE6EB3"/>
    <w:rsid w:val="00C065C4"/>
    <w:rsid w:val="00C20173"/>
    <w:rsid w:val="00C21988"/>
    <w:rsid w:val="00C47EC7"/>
    <w:rsid w:val="00C56141"/>
    <w:rsid w:val="00C67057"/>
    <w:rsid w:val="00C81363"/>
    <w:rsid w:val="00C832E6"/>
    <w:rsid w:val="00CA660D"/>
    <w:rsid w:val="00CB33D1"/>
    <w:rsid w:val="00CD5112"/>
    <w:rsid w:val="00CE7104"/>
    <w:rsid w:val="00D502CE"/>
    <w:rsid w:val="00DE22E2"/>
    <w:rsid w:val="00DE720F"/>
    <w:rsid w:val="00E0201F"/>
    <w:rsid w:val="00E105E4"/>
    <w:rsid w:val="00E87677"/>
    <w:rsid w:val="00EA6593"/>
    <w:rsid w:val="00EB04DB"/>
    <w:rsid w:val="00F13A00"/>
    <w:rsid w:val="00F14E77"/>
    <w:rsid w:val="00F4180A"/>
    <w:rsid w:val="00F73601"/>
    <w:rsid w:val="00FB7D05"/>
    <w:rsid w:val="00FF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A2EA7"/>
  <w15:docId w15:val="{46D5E728-EE9A-415D-BAFE-4E5C2C2C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3">
    <w:name w:val="heading 3"/>
    <w:basedOn w:val="a"/>
    <w:next w:val="a"/>
    <w:link w:val="30"/>
    <w:uiPriority w:val="9"/>
    <w:qFormat/>
    <w:rsid w:val="00A2032F"/>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9582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95828"/>
    <w:rPr>
      <w:rFonts w:ascii="Calibri" w:eastAsia="Calibri" w:hAnsi="Calibri" w:cs="Calibri"/>
      <w:color w:val="000000"/>
      <w:sz w:val="18"/>
      <w:szCs w:val="18"/>
    </w:rPr>
  </w:style>
  <w:style w:type="paragraph" w:styleId="a5">
    <w:name w:val="footer"/>
    <w:basedOn w:val="a"/>
    <w:link w:val="a6"/>
    <w:uiPriority w:val="99"/>
    <w:unhideWhenUsed/>
    <w:rsid w:val="0059582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595828"/>
    <w:rPr>
      <w:rFonts w:ascii="Calibri" w:eastAsia="Calibri" w:hAnsi="Calibri" w:cs="Calibri"/>
      <w:color w:val="000000"/>
      <w:sz w:val="18"/>
      <w:szCs w:val="18"/>
    </w:rPr>
  </w:style>
  <w:style w:type="character" w:customStyle="1" w:styleId="30">
    <w:name w:val="标题 3 字符"/>
    <w:basedOn w:val="a0"/>
    <w:link w:val="3"/>
    <w:uiPriority w:val="9"/>
    <w:rsid w:val="00A2032F"/>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9185">
      <w:bodyDiv w:val="1"/>
      <w:marLeft w:val="0"/>
      <w:marRight w:val="0"/>
      <w:marTop w:val="0"/>
      <w:marBottom w:val="0"/>
      <w:divBdr>
        <w:top w:val="none" w:sz="0" w:space="0" w:color="auto"/>
        <w:left w:val="none" w:sz="0" w:space="0" w:color="auto"/>
        <w:bottom w:val="none" w:sz="0" w:space="0" w:color="auto"/>
        <w:right w:val="none" w:sz="0" w:space="0" w:color="auto"/>
      </w:divBdr>
    </w:div>
    <w:div w:id="1059789803">
      <w:bodyDiv w:val="1"/>
      <w:marLeft w:val="0"/>
      <w:marRight w:val="0"/>
      <w:marTop w:val="0"/>
      <w:marBottom w:val="0"/>
      <w:divBdr>
        <w:top w:val="none" w:sz="0" w:space="0" w:color="auto"/>
        <w:left w:val="none" w:sz="0" w:space="0" w:color="auto"/>
        <w:bottom w:val="none" w:sz="0" w:space="0" w:color="auto"/>
        <w:right w:val="none" w:sz="0" w:space="0" w:color="auto"/>
      </w:divBdr>
    </w:div>
    <w:div w:id="1362701596">
      <w:bodyDiv w:val="1"/>
      <w:marLeft w:val="0"/>
      <w:marRight w:val="0"/>
      <w:marTop w:val="0"/>
      <w:marBottom w:val="0"/>
      <w:divBdr>
        <w:top w:val="none" w:sz="0" w:space="0" w:color="auto"/>
        <w:left w:val="none" w:sz="0" w:space="0" w:color="auto"/>
        <w:bottom w:val="none" w:sz="0" w:space="0" w:color="auto"/>
        <w:right w:val="none" w:sz="0" w:space="0" w:color="auto"/>
      </w:divBdr>
      <w:divsChild>
        <w:div w:id="426075162">
          <w:blockQuote w:val="1"/>
          <w:marLeft w:val="120"/>
          <w:marRight w:val="720"/>
          <w:marTop w:val="0"/>
          <w:marBottom w:val="0"/>
          <w:divBdr>
            <w:top w:val="none" w:sz="0" w:space="0" w:color="auto"/>
            <w:left w:val="none" w:sz="0" w:space="0" w:color="auto"/>
            <w:bottom w:val="none" w:sz="0" w:space="0" w:color="auto"/>
            <w:right w:val="none" w:sz="0" w:space="0" w:color="auto"/>
          </w:divBdr>
          <w:divsChild>
            <w:div w:id="674648647">
              <w:marLeft w:val="0"/>
              <w:marRight w:val="0"/>
              <w:marTop w:val="0"/>
              <w:marBottom w:val="0"/>
              <w:divBdr>
                <w:top w:val="none" w:sz="0" w:space="0" w:color="auto"/>
                <w:left w:val="none" w:sz="0" w:space="0" w:color="auto"/>
                <w:bottom w:val="none" w:sz="0" w:space="0" w:color="auto"/>
                <w:right w:val="none" w:sz="0" w:space="0" w:color="auto"/>
              </w:divBdr>
              <w:divsChild>
                <w:div w:id="281424227">
                  <w:marLeft w:val="0"/>
                  <w:marRight w:val="0"/>
                  <w:marTop w:val="0"/>
                  <w:marBottom w:val="0"/>
                  <w:divBdr>
                    <w:top w:val="none" w:sz="0" w:space="0" w:color="auto"/>
                    <w:left w:val="none" w:sz="0" w:space="0" w:color="auto"/>
                    <w:bottom w:val="none" w:sz="0" w:space="0" w:color="auto"/>
                    <w:right w:val="none" w:sz="0" w:space="0" w:color="auto"/>
                  </w:divBdr>
                  <w:divsChild>
                    <w:div w:id="62901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04924">
                          <w:marLeft w:val="0"/>
                          <w:marRight w:val="0"/>
                          <w:marTop w:val="0"/>
                          <w:marBottom w:val="0"/>
                          <w:divBdr>
                            <w:top w:val="none" w:sz="0" w:space="0" w:color="auto"/>
                            <w:left w:val="none" w:sz="0" w:space="0" w:color="auto"/>
                            <w:bottom w:val="none" w:sz="0" w:space="0" w:color="auto"/>
                            <w:right w:val="none" w:sz="0" w:space="0" w:color="auto"/>
                          </w:divBdr>
                          <w:divsChild>
                            <w:div w:id="797457516">
                              <w:marLeft w:val="0"/>
                              <w:marRight w:val="0"/>
                              <w:marTop w:val="0"/>
                              <w:marBottom w:val="0"/>
                              <w:divBdr>
                                <w:top w:val="none" w:sz="0" w:space="0" w:color="auto"/>
                                <w:left w:val="none" w:sz="0" w:space="0" w:color="auto"/>
                                <w:bottom w:val="none" w:sz="0" w:space="0" w:color="auto"/>
                                <w:right w:val="none" w:sz="0" w:space="0" w:color="auto"/>
                              </w:divBdr>
                              <w:divsChild>
                                <w:div w:id="1059672861">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88144816">
                                      <w:marLeft w:val="0"/>
                                      <w:marRight w:val="0"/>
                                      <w:marTop w:val="0"/>
                                      <w:marBottom w:val="0"/>
                                      <w:divBdr>
                                        <w:top w:val="none" w:sz="0" w:space="0" w:color="auto"/>
                                        <w:left w:val="none" w:sz="0" w:space="0" w:color="auto"/>
                                        <w:bottom w:val="none" w:sz="0" w:space="0" w:color="auto"/>
                                        <w:right w:val="none" w:sz="0" w:space="0" w:color="auto"/>
                                      </w:divBdr>
                                      <w:divsChild>
                                        <w:div w:id="232353338">
                                          <w:blockQuote w:val="1"/>
                                          <w:marLeft w:val="120"/>
                                          <w:marRight w:val="720"/>
                                          <w:marTop w:val="0"/>
                                          <w:marBottom w:val="0"/>
                                          <w:divBdr>
                                            <w:top w:val="none" w:sz="0" w:space="0" w:color="auto"/>
                                            <w:left w:val="none" w:sz="0" w:space="0" w:color="auto"/>
                                            <w:bottom w:val="none" w:sz="0" w:space="0" w:color="auto"/>
                                            <w:right w:val="none" w:sz="0" w:space="0" w:color="auto"/>
                                          </w:divBdr>
                                          <w:divsChild>
                                            <w:div w:id="520625431">
                                              <w:marLeft w:val="0"/>
                                              <w:marRight w:val="0"/>
                                              <w:marTop w:val="0"/>
                                              <w:marBottom w:val="0"/>
                                              <w:divBdr>
                                                <w:top w:val="none" w:sz="0" w:space="0" w:color="auto"/>
                                                <w:left w:val="none" w:sz="0" w:space="0" w:color="auto"/>
                                                <w:bottom w:val="none" w:sz="0" w:space="0" w:color="auto"/>
                                                <w:right w:val="none" w:sz="0" w:space="0" w:color="auto"/>
                                              </w:divBdr>
                                              <w:divsChild>
                                                <w:div w:id="959385842">
                                                  <w:marLeft w:val="0"/>
                                                  <w:marRight w:val="0"/>
                                                  <w:marTop w:val="0"/>
                                                  <w:marBottom w:val="0"/>
                                                  <w:divBdr>
                                                    <w:top w:val="none" w:sz="0" w:space="0" w:color="auto"/>
                                                    <w:left w:val="none" w:sz="0" w:space="0" w:color="auto"/>
                                                    <w:bottom w:val="none" w:sz="0" w:space="0" w:color="auto"/>
                                                    <w:right w:val="none" w:sz="0" w:space="0" w:color="auto"/>
                                                  </w:divBdr>
                                                  <w:divsChild>
                                                    <w:div w:id="493645860">
                                                      <w:marLeft w:val="0"/>
                                                      <w:marRight w:val="0"/>
                                                      <w:marTop w:val="0"/>
                                                      <w:marBottom w:val="0"/>
                                                      <w:divBdr>
                                                        <w:top w:val="none" w:sz="0" w:space="0" w:color="auto"/>
                                                        <w:left w:val="none" w:sz="0" w:space="0" w:color="auto"/>
                                                        <w:bottom w:val="none" w:sz="0" w:space="0" w:color="auto"/>
                                                        <w:right w:val="none" w:sz="0" w:space="0" w:color="auto"/>
                                                      </w:divBdr>
                                                      <w:divsChild>
                                                        <w:div w:id="755173557">
                                                          <w:blockQuote w:val="1"/>
                                                          <w:marLeft w:val="120"/>
                                                          <w:marRight w:val="720"/>
                                                          <w:marTop w:val="0"/>
                                                          <w:marBottom w:val="0"/>
                                                          <w:divBdr>
                                                            <w:top w:val="none" w:sz="0" w:space="0" w:color="auto"/>
                                                            <w:left w:val="none" w:sz="0" w:space="0" w:color="auto"/>
                                                            <w:bottom w:val="none" w:sz="0" w:space="0" w:color="auto"/>
                                                            <w:right w:val="none" w:sz="0" w:space="0" w:color="auto"/>
                                                          </w:divBdr>
                                                          <w:divsChild>
                                                            <w:div w:id="1024018858">
                                                              <w:marLeft w:val="0"/>
                                                              <w:marRight w:val="0"/>
                                                              <w:marTop w:val="0"/>
                                                              <w:marBottom w:val="0"/>
                                                              <w:divBdr>
                                                                <w:top w:val="none" w:sz="0" w:space="0" w:color="auto"/>
                                                                <w:left w:val="none" w:sz="0" w:space="0" w:color="auto"/>
                                                                <w:bottom w:val="none" w:sz="0" w:space="0" w:color="auto"/>
                                                                <w:right w:val="none" w:sz="0" w:space="0" w:color="auto"/>
                                                              </w:divBdr>
                                                              <w:divsChild>
                                                                <w:div w:id="744381915">
                                                                  <w:blockQuote w:val="1"/>
                                                                  <w:marLeft w:val="120"/>
                                                                  <w:marRight w:val="720"/>
                                                                  <w:marTop w:val="0"/>
                                                                  <w:marBottom w:val="0"/>
                                                                  <w:divBdr>
                                                                    <w:top w:val="none" w:sz="0" w:space="0" w:color="auto"/>
                                                                    <w:left w:val="none" w:sz="0" w:space="0" w:color="auto"/>
                                                                    <w:bottom w:val="none" w:sz="0" w:space="0" w:color="auto"/>
                                                                    <w:right w:val="none" w:sz="0" w:space="0" w:color="auto"/>
                                                                  </w:divBdr>
                                                                  <w:divsChild>
                                                                    <w:div w:id="542787063">
                                                                      <w:marLeft w:val="0"/>
                                                                      <w:marRight w:val="0"/>
                                                                      <w:marTop w:val="0"/>
                                                                      <w:marBottom w:val="0"/>
                                                                      <w:divBdr>
                                                                        <w:top w:val="none" w:sz="0" w:space="0" w:color="auto"/>
                                                                        <w:left w:val="none" w:sz="0" w:space="0" w:color="auto"/>
                                                                        <w:bottom w:val="none" w:sz="0" w:space="0" w:color="auto"/>
                                                                        <w:right w:val="none" w:sz="0" w:space="0" w:color="auto"/>
                                                                      </w:divBdr>
                                                                      <w:divsChild>
                                                                        <w:div w:id="5376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402</Words>
  <Characters>2297</Characters>
  <Application>Microsoft Office Word</Application>
  <DocSecurity>0</DocSecurity>
  <Lines>19</Lines>
  <Paragraphs>5</Paragraphs>
  <ScaleCrop>false</ScaleCrop>
  <Company>QN</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cp:lastModifiedBy>. Dc</cp:lastModifiedBy>
  <cp:revision>3</cp:revision>
  <cp:lastPrinted>2019-11-05T02:06:00Z</cp:lastPrinted>
  <dcterms:created xsi:type="dcterms:W3CDTF">2020-06-11T06:47:00Z</dcterms:created>
  <dcterms:modified xsi:type="dcterms:W3CDTF">2020-06-11T08:50:00Z</dcterms:modified>
</cp:coreProperties>
</file>