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CDA8" w14:textId="77777777" w:rsidR="00184AF0" w:rsidRDefault="00A51BE5">
      <w:pPr>
        <w:spacing w:beforeLines="50" w:before="156" w:afterLines="50" w:after="156" w:line="360" w:lineRule="auto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证券代码：002675                        证券简称：东诚药业</w:t>
      </w:r>
    </w:p>
    <w:p w14:paraId="3F1F68A5" w14:textId="77777777" w:rsidR="00184AF0" w:rsidRDefault="00A51BE5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烟台东诚药业集团股份有限公司投资者关系活动记录表</w:t>
      </w:r>
    </w:p>
    <w:p w14:paraId="32FE47C7" w14:textId="16ABA81C" w:rsidR="00184AF0" w:rsidRDefault="00A51BE5">
      <w:pPr>
        <w:spacing w:line="360" w:lineRule="auto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编号：20</w:t>
      </w:r>
      <w:r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E81E57">
        <w:rPr>
          <w:rFonts w:ascii="宋体" w:hAnsi="宋体"/>
          <w:bCs/>
          <w:iCs/>
          <w:sz w:val="24"/>
          <w:szCs w:val="24"/>
        </w:rPr>
        <w:t>6</w:t>
      </w:r>
    </w:p>
    <w:p w14:paraId="60145BDB" w14:textId="77777777" w:rsidR="00184AF0" w:rsidRDefault="00184AF0">
      <w:pPr>
        <w:spacing w:beforeLines="50" w:before="156" w:afterLines="50" w:after="156" w:line="360" w:lineRule="auto"/>
        <w:rPr>
          <w:rFonts w:ascii="宋体" w:hAnsi="宋体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184AF0" w14:paraId="0429ADE7" w14:textId="77777777">
        <w:tc>
          <w:tcPr>
            <w:tcW w:w="1908" w:type="dxa"/>
            <w:shd w:val="clear" w:color="auto" w:fill="auto"/>
          </w:tcPr>
          <w:p w14:paraId="0814D41A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219A05F" w14:textId="77777777" w:rsidR="00184AF0" w:rsidRDefault="00184AF0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4C2A1575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05860525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0180158A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29C71258" w14:textId="26EF22FD" w:rsidR="00184AF0" w:rsidRDefault="00DE7A9A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51BE5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A51BE5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5517912F" w14:textId="003D5A9C" w:rsidR="00184AF0" w:rsidRDefault="00DE7A9A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51BE5">
              <w:rPr>
                <w:rFonts w:ascii="宋体" w:hAnsi="宋体" w:hint="eastAsia"/>
                <w:sz w:val="24"/>
                <w:szCs w:val="24"/>
              </w:rPr>
              <w:t>其他 （</w:t>
            </w:r>
            <w:r w:rsidR="00A51BE5">
              <w:rPr>
                <w:rFonts w:ascii="宋体" w:hAnsi="宋体" w:hint="eastAsia"/>
                <w:sz w:val="24"/>
                <w:szCs w:val="24"/>
                <w:u w:val="single"/>
              </w:rPr>
              <w:t>电话会议）</w:t>
            </w:r>
          </w:p>
        </w:tc>
      </w:tr>
      <w:tr w:rsidR="00184AF0" w14:paraId="76C5D40B" w14:textId="77777777">
        <w:tc>
          <w:tcPr>
            <w:tcW w:w="1908" w:type="dxa"/>
            <w:shd w:val="clear" w:color="auto" w:fill="auto"/>
          </w:tcPr>
          <w:p w14:paraId="4E012F6A" w14:textId="29B8135F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</w:t>
            </w:r>
            <w:r w:rsidR="00A6150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、简介及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14" w:type="dxa"/>
            <w:shd w:val="clear" w:color="auto" w:fill="auto"/>
          </w:tcPr>
          <w:p w14:paraId="5D878E01" w14:textId="7C49A2A5" w:rsidR="00273D2E" w:rsidRDefault="00E81E57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平安</w:t>
            </w:r>
            <w:r w:rsidR="00BB2028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医药</w:t>
            </w:r>
            <w:r w:rsidR="00273D2E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叶寅</w:t>
            </w:r>
            <w:r w:rsidR="00BB2028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韩盟盟</w:t>
            </w:r>
          </w:p>
          <w:p w14:paraId="0BE9B22B" w14:textId="4112ACA9" w:rsidR="00E81E57" w:rsidRDefault="00E81E57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兴</w:t>
            </w:r>
            <w:r w:rsidR="00DB5B9F">
              <w:rPr>
                <w:rFonts w:ascii="宋体" w:hAnsi="宋体" w:hint="eastAsia"/>
                <w:bCs/>
                <w:iCs/>
                <w:color w:val="000000"/>
                <w:sz w:val="24"/>
              </w:rPr>
              <w:t>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证券医药分析师：徐佳熹</w:t>
            </w:r>
            <w:r w:rsidR="00DB5B9F">
              <w:rPr>
                <w:rFonts w:ascii="宋体" w:hAnsi="宋体" w:hint="eastAsia"/>
                <w:bCs/>
                <w:iCs/>
                <w:color w:val="000000"/>
                <w:sz w:val="24"/>
              </w:rPr>
              <w:t>、王楠、东楠</w:t>
            </w:r>
          </w:p>
          <w:p w14:paraId="29D5A236" w14:textId="57B5D03C" w:rsidR="00DB5B9F" w:rsidRDefault="00E81E57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招商证券医药分析师：李点典</w:t>
            </w:r>
          </w:p>
          <w:p w14:paraId="7B0EEA33" w14:textId="77777777" w:rsidR="00DB5B9F" w:rsidRDefault="00E81E57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鹏华基金：张华恩、刘玉江、葛瑾洁</w:t>
            </w:r>
          </w:p>
          <w:p w14:paraId="560BBED2" w14:textId="77777777" w:rsidR="00DB5B9F" w:rsidRDefault="00DB5B9F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泰信基金：徐慕浩</w:t>
            </w:r>
          </w:p>
          <w:p w14:paraId="2C460D28" w14:textId="77777777" w:rsidR="00DB5B9F" w:rsidRDefault="00DB5B9F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中庚基金：余思慧</w:t>
            </w:r>
          </w:p>
          <w:p w14:paraId="662552BA" w14:textId="77777777" w:rsidR="00DB5B9F" w:rsidRDefault="00DB5B9F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明世伙伴基金：王祎佳</w:t>
            </w:r>
          </w:p>
          <w:p w14:paraId="0663C2CC" w14:textId="77777777" w:rsidR="00DB5B9F" w:rsidRDefault="00DB5B9F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汇添富基金：谢杰</w:t>
            </w:r>
          </w:p>
          <w:p w14:paraId="14796B42" w14:textId="77777777" w:rsidR="00DB5B9F" w:rsidRDefault="00DB5B9F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民生加银基金：陈洁馨</w:t>
            </w:r>
          </w:p>
          <w:p w14:paraId="2DB69AAC" w14:textId="1209F5E9" w:rsidR="00DB5B9F" w:rsidRDefault="00DB5B9F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敦和资产：马昀</w:t>
            </w:r>
          </w:p>
          <w:p w14:paraId="232BACE9" w14:textId="31C22ABF" w:rsidR="006D04DA" w:rsidRDefault="006D04DA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泰康资产：傅洪哲</w:t>
            </w:r>
          </w:p>
          <w:p w14:paraId="4E4553DA" w14:textId="77777777" w:rsidR="00DB5B9F" w:rsidRDefault="00DB5B9F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中金公司：李梦瑶</w:t>
            </w:r>
          </w:p>
          <w:p w14:paraId="4CDD4D9B" w14:textId="77777777" w:rsidR="006D04DA" w:rsidRDefault="00DB5B9F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上海混沌道然：程苏恒</w:t>
            </w:r>
          </w:p>
          <w:p w14:paraId="66B66560" w14:textId="4C1C8189" w:rsidR="006D04DA" w:rsidRDefault="006D04DA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水印投资：刘丹</w:t>
            </w:r>
          </w:p>
          <w:p w14:paraId="7CA23145" w14:textId="23BBDF6D" w:rsidR="006D04DA" w:rsidRDefault="006D04DA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上海汇利资产：钱希撼</w:t>
            </w:r>
          </w:p>
          <w:p w14:paraId="797724A6" w14:textId="301CD8CC" w:rsidR="006D04DA" w:rsidRDefault="006D04DA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上海盛宇投资：张亚辉</w:t>
            </w:r>
          </w:p>
          <w:p w14:paraId="5DB5D2A3" w14:textId="3C44F64F" w:rsidR="006D04DA" w:rsidRDefault="006D04DA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涌峰投资：梁欢</w:t>
            </w:r>
          </w:p>
          <w:p w14:paraId="494CCA30" w14:textId="39C0AF96" w:rsidR="006D04DA" w:rsidRDefault="006D04DA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W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T A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sset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M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anagement：潮礼君</w:t>
            </w:r>
          </w:p>
          <w:p w14:paraId="1407F19A" w14:textId="5A41A676" w:rsidR="006D04DA" w:rsidRDefault="006D04DA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东方红资管：刘中群</w:t>
            </w:r>
          </w:p>
          <w:p w14:paraId="7F2915AB" w14:textId="4E684ACA" w:rsidR="006D04DA" w:rsidRDefault="006D04DA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西南证券投资部：李根林</w:t>
            </w:r>
          </w:p>
          <w:p w14:paraId="7D62D663" w14:textId="470F1A94" w:rsidR="00E81E57" w:rsidRDefault="006D04DA" w:rsidP="009116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招商银行：吴昆伦</w:t>
            </w:r>
            <w:r w:rsidR="00DB5B9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14:paraId="3F3F344A" w14:textId="7EA645CF" w:rsidR="002F60A6" w:rsidRPr="002F60A6" w:rsidRDefault="0077525E" w:rsidP="008C430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盘京投资：曹珊珊</w:t>
            </w:r>
          </w:p>
        </w:tc>
      </w:tr>
      <w:tr w:rsidR="00184AF0" w14:paraId="1909F943" w14:textId="77777777">
        <w:tc>
          <w:tcPr>
            <w:tcW w:w="1908" w:type="dxa"/>
            <w:shd w:val="clear" w:color="auto" w:fill="auto"/>
          </w:tcPr>
          <w:p w14:paraId="1E64B00C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14:paraId="17C26E31" w14:textId="1854AF44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D03DF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7525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77525E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184AF0" w14:paraId="24FE344B" w14:textId="77777777">
        <w:tc>
          <w:tcPr>
            <w:tcW w:w="1908" w:type="dxa"/>
            <w:shd w:val="clear" w:color="auto" w:fill="auto"/>
          </w:tcPr>
          <w:p w14:paraId="2EAC404E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212BB652" w14:textId="1418BE0E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烟台经济技术开发区长白山路7号公司会议室</w:t>
            </w:r>
          </w:p>
        </w:tc>
      </w:tr>
      <w:tr w:rsidR="00184AF0" w14:paraId="2E31A57A" w14:textId="77777777">
        <w:tc>
          <w:tcPr>
            <w:tcW w:w="1908" w:type="dxa"/>
            <w:shd w:val="clear" w:color="auto" w:fill="auto"/>
          </w:tcPr>
          <w:p w14:paraId="4728E62E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14:paraId="2119EA76" w14:textId="20EFB26D" w:rsidR="00184AF0" w:rsidRDefault="00A51BE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东诚药业</w:t>
            </w:r>
            <w:r w:rsidR="0002585B">
              <w:rPr>
                <w:rFonts w:ascii="宋体" w:hAnsi="宋体" w:hint="eastAsia"/>
                <w:bCs/>
                <w:iCs/>
                <w:color w:val="000000"/>
                <w:sz w:val="24"/>
              </w:rPr>
              <w:t>集团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副总经理兼董事会秘书：刘晓杰</w:t>
            </w:r>
          </w:p>
          <w:p w14:paraId="7A446DB5" w14:textId="738A932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证券部：李季</w:t>
            </w:r>
            <w:r w:rsidR="0077525E">
              <w:rPr>
                <w:rFonts w:ascii="宋体" w:hAnsi="宋体" w:hint="eastAsia"/>
                <w:bCs/>
                <w:iCs/>
                <w:color w:val="000000"/>
                <w:sz w:val="24"/>
              </w:rPr>
              <w:t>、刘雅楠</w:t>
            </w:r>
          </w:p>
        </w:tc>
      </w:tr>
      <w:tr w:rsidR="00184AF0" w14:paraId="316875FC" w14:textId="77777777">
        <w:trPr>
          <w:trHeight w:val="1427"/>
        </w:trPr>
        <w:tc>
          <w:tcPr>
            <w:tcW w:w="1908" w:type="dxa"/>
            <w:shd w:val="clear" w:color="auto" w:fill="auto"/>
            <w:vAlign w:val="center"/>
          </w:tcPr>
          <w:p w14:paraId="41A60260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14:paraId="18B5FA8A" w14:textId="77777777" w:rsidR="00184AF0" w:rsidRDefault="00184AF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1859358F" w14:textId="11811D2D" w:rsidR="00184AF0" w:rsidRDefault="00A51BE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了解</w:t>
            </w:r>
            <w:r w:rsidR="00446A0D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经营</w:t>
            </w:r>
            <w:r w:rsidR="00446A0D">
              <w:rPr>
                <w:rFonts w:ascii="宋体" w:hAnsi="宋体" w:hint="eastAsia"/>
                <w:bCs/>
                <w:iCs/>
                <w:color w:val="000000"/>
                <w:sz w:val="24"/>
              </w:rPr>
              <w:t>及发展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情况</w:t>
            </w:r>
          </w:p>
        </w:tc>
      </w:tr>
      <w:tr w:rsidR="00184AF0" w14:paraId="72C114A6" w14:textId="77777777">
        <w:tc>
          <w:tcPr>
            <w:tcW w:w="1908" w:type="dxa"/>
            <w:shd w:val="clear" w:color="auto" w:fill="auto"/>
            <w:vAlign w:val="center"/>
          </w:tcPr>
          <w:p w14:paraId="0F82FF85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</w:t>
            </w:r>
          </w:p>
        </w:tc>
        <w:tc>
          <w:tcPr>
            <w:tcW w:w="6614" w:type="dxa"/>
            <w:shd w:val="clear" w:color="auto" w:fill="auto"/>
          </w:tcPr>
          <w:p w14:paraId="2F9142EC" w14:textId="77777777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会议纪要</w:t>
            </w:r>
          </w:p>
        </w:tc>
      </w:tr>
      <w:tr w:rsidR="00184AF0" w14:paraId="49C61D47" w14:textId="77777777">
        <w:trPr>
          <w:trHeight w:val="582"/>
        </w:trPr>
        <w:tc>
          <w:tcPr>
            <w:tcW w:w="1908" w:type="dxa"/>
            <w:shd w:val="clear" w:color="auto" w:fill="auto"/>
            <w:vAlign w:val="center"/>
          </w:tcPr>
          <w:p w14:paraId="744217FE" w14:textId="77777777" w:rsidR="00184AF0" w:rsidRDefault="00A51BE5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269F567F" w14:textId="4F693EB6" w:rsidR="00184AF0" w:rsidRDefault="00A51BE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D03DF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7525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77525E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505E1026" w14:textId="77777777" w:rsidR="00184AF0" w:rsidRDefault="00184AF0">
      <w:pPr>
        <w:spacing w:line="360" w:lineRule="auto"/>
        <w:jc w:val="center"/>
        <w:rPr>
          <w:b/>
          <w:sz w:val="28"/>
          <w:szCs w:val="28"/>
        </w:rPr>
      </w:pPr>
    </w:p>
    <w:p w14:paraId="05C0A7D4" w14:textId="77777777" w:rsidR="00184AF0" w:rsidRDefault="00A51BE5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烟台东诚药业集团股份有限公司机构调研会议纪要</w:t>
      </w:r>
    </w:p>
    <w:p w14:paraId="4AF31568" w14:textId="77777777" w:rsidR="00184AF0" w:rsidRDefault="00184AF0">
      <w:pPr>
        <w:spacing w:line="360" w:lineRule="auto"/>
      </w:pPr>
    </w:p>
    <w:p w14:paraId="6A8902C2" w14:textId="600254DB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时间：</w:t>
      </w:r>
      <w:r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年</w:t>
      </w:r>
      <w:r w:rsidR="00CD03DF">
        <w:rPr>
          <w:rFonts w:ascii="宋体" w:hAnsi="宋体"/>
          <w:bCs/>
          <w:iCs/>
          <w:sz w:val="24"/>
          <w:szCs w:val="24"/>
        </w:rPr>
        <w:t>6</w:t>
      </w:r>
      <w:r>
        <w:rPr>
          <w:rFonts w:ascii="宋体" w:hAnsi="宋体" w:hint="eastAsia"/>
          <w:bCs/>
          <w:iCs/>
          <w:sz w:val="24"/>
          <w:szCs w:val="24"/>
        </w:rPr>
        <w:t>月</w:t>
      </w:r>
      <w:r w:rsidR="0077525E">
        <w:rPr>
          <w:rFonts w:ascii="宋体" w:hAnsi="宋体"/>
          <w:bCs/>
          <w:iCs/>
          <w:sz w:val="24"/>
          <w:szCs w:val="24"/>
        </w:rPr>
        <w:t>10</w:t>
      </w:r>
      <w:r>
        <w:rPr>
          <w:rFonts w:ascii="宋体" w:hAnsi="宋体" w:hint="eastAsia"/>
          <w:bCs/>
          <w:iCs/>
          <w:sz w:val="24"/>
          <w:szCs w:val="24"/>
        </w:rPr>
        <w:t>日</w:t>
      </w:r>
    </w:p>
    <w:p w14:paraId="253BAD5C" w14:textId="77777777" w:rsidR="00184AF0" w:rsidRDefault="00A51BE5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地点：</w:t>
      </w:r>
      <w:r>
        <w:rPr>
          <w:rFonts w:ascii="宋体" w:hAnsi="宋体" w:hint="eastAsia"/>
          <w:bCs/>
          <w:iCs/>
          <w:color w:val="000000"/>
          <w:sz w:val="24"/>
        </w:rPr>
        <w:t>烟台经济技术开发区长白山路7号公司会议室</w:t>
      </w:r>
    </w:p>
    <w:p w14:paraId="7D7676F0" w14:textId="6F074406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召开方式：</w:t>
      </w:r>
      <w:r w:rsidR="00C25931">
        <w:rPr>
          <w:rFonts w:asciiTheme="minorEastAsia" w:hAnsiTheme="minorEastAsia" w:hint="eastAsia"/>
          <w:sz w:val="24"/>
        </w:rPr>
        <w:t>现场参观</w:t>
      </w:r>
    </w:p>
    <w:p w14:paraId="06058974" w14:textId="5F4094E7" w:rsidR="00610409" w:rsidRDefault="00A51BE5" w:rsidP="00273D2E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调研人员</w:t>
      </w:r>
      <w:r w:rsidR="00D0672B">
        <w:rPr>
          <w:rFonts w:asciiTheme="minorEastAsia" w:hAnsiTheme="minorEastAsia" w:hint="eastAsia"/>
          <w:b/>
          <w:sz w:val="24"/>
        </w:rPr>
        <w:t>：</w:t>
      </w:r>
      <w:r w:rsidR="00F54E06" w:rsidRPr="00F54E06">
        <w:rPr>
          <w:rFonts w:ascii="宋体" w:hAnsi="宋体" w:hint="eastAsia"/>
          <w:bCs/>
          <w:iCs/>
          <w:color w:val="000000"/>
          <w:sz w:val="24"/>
        </w:rPr>
        <w:t>调研机构</w:t>
      </w:r>
      <w:r w:rsidR="00273D2E" w:rsidRPr="00273D2E">
        <w:rPr>
          <w:rFonts w:ascii="宋体" w:hAnsi="宋体" w:hint="eastAsia"/>
          <w:bCs/>
          <w:iCs/>
          <w:color w:val="000000"/>
          <w:sz w:val="24"/>
        </w:rPr>
        <w:t>人员名单详</w:t>
      </w:r>
      <w:r w:rsidR="00273D2E">
        <w:rPr>
          <w:rFonts w:ascii="宋体" w:hAnsi="宋体" w:hint="eastAsia"/>
          <w:bCs/>
          <w:iCs/>
          <w:color w:val="000000"/>
          <w:sz w:val="24"/>
        </w:rPr>
        <w:t>见上表</w:t>
      </w:r>
      <w:r w:rsidR="00273D2E">
        <w:rPr>
          <w:rFonts w:ascii="宋体" w:hAnsi="宋体"/>
          <w:bCs/>
          <w:iCs/>
          <w:color w:val="000000"/>
          <w:sz w:val="24"/>
        </w:rPr>
        <w:t xml:space="preserve"> </w:t>
      </w:r>
    </w:p>
    <w:p w14:paraId="57AFA4EB" w14:textId="0E1ECBDC" w:rsidR="00184AF0" w:rsidRPr="0077525E" w:rsidRDefault="00A51BE5" w:rsidP="0077525E">
      <w:pPr>
        <w:spacing w:line="360" w:lineRule="auto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/>
          <w:sz w:val="24"/>
        </w:rPr>
        <w:t>公司参与人员：</w:t>
      </w:r>
      <w:r>
        <w:rPr>
          <w:rFonts w:ascii="宋体" w:hAnsi="宋体" w:hint="eastAsia"/>
          <w:bCs/>
          <w:iCs/>
          <w:color w:val="000000"/>
          <w:sz w:val="24"/>
        </w:rPr>
        <w:t>东诚药业</w:t>
      </w:r>
      <w:r w:rsidR="0002585B">
        <w:rPr>
          <w:rFonts w:ascii="宋体" w:hAnsi="宋体" w:hint="eastAsia"/>
          <w:bCs/>
          <w:iCs/>
          <w:color w:val="000000"/>
          <w:sz w:val="24"/>
        </w:rPr>
        <w:t>集团</w:t>
      </w:r>
      <w:r>
        <w:rPr>
          <w:rFonts w:ascii="宋体" w:hAnsi="宋体" w:hint="eastAsia"/>
          <w:bCs/>
          <w:iCs/>
          <w:color w:val="000000"/>
          <w:sz w:val="24"/>
        </w:rPr>
        <w:t>副总经理兼董事会秘书：刘晓杰</w:t>
      </w:r>
    </w:p>
    <w:p w14:paraId="0856B373" w14:textId="4D6DFEB3" w:rsidR="00184AF0" w:rsidRDefault="00A51BE5">
      <w:pPr>
        <w:spacing w:line="360" w:lineRule="auto"/>
        <w:ind w:firstLineChars="700" w:firstLine="168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证券部：李季</w:t>
      </w:r>
      <w:r w:rsidR="0077525E">
        <w:rPr>
          <w:rFonts w:ascii="宋体" w:hAnsi="宋体" w:hint="eastAsia"/>
          <w:bCs/>
          <w:iCs/>
          <w:color w:val="000000"/>
          <w:sz w:val="24"/>
        </w:rPr>
        <w:t>、刘雅楠</w:t>
      </w:r>
    </w:p>
    <w:p w14:paraId="012F01B9" w14:textId="77777777" w:rsidR="00184AF0" w:rsidRDefault="00A51BE5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记录人：</w:t>
      </w:r>
      <w:r>
        <w:rPr>
          <w:rFonts w:asciiTheme="minorEastAsia" w:hAnsiTheme="minorEastAsia" w:hint="eastAsia"/>
          <w:sz w:val="24"/>
        </w:rPr>
        <w:t>李季</w:t>
      </w:r>
    </w:p>
    <w:p w14:paraId="0361B981" w14:textId="77777777" w:rsidR="00184AF0" w:rsidRDefault="00A51B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主要交流内容： </w:t>
      </w:r>
    </w:p>
    <w:p w14:paraId="08A9CD65" w14:textId="3E2450CA" w:rsidR="00184AF0" w:rsidRDefault="00A51BE5" w:rsidP="00446A0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会议采取问答的形式，对投资者关注的问题予以解答</w:t>
      </w:r>
    </w:p>
    <w:p w14:paraId="0FF41EE4" w14:textId="63C019EF" w:rsidR="00BC1D2F" w:rsidRPr="00E954E9" w:rsidRDefault="00BC1D2F" w:rsidP="00BC1D2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141727">
        <w:rPr>
          <w:rFonts w:asciiTheme="minorEastAsia" w:eastAsiaTheme="minorEastAsia" w:hAnsiTheme="minorEastAsia" w:hint="eastAsia"/>
          <w:b/>
          <w:bCs/>
          <w:sz w:val="24"/>
          <w:szCs w:val="24"/>
        </w:rPr>
        <w:t>问题</w:t>
      </w:r>
      <w:r w:rsidR="00E06D07">
        <w:rPr>
          <w:rFonts w:asciiTheme="minorEastAsia" w:eastAsiaTheme="minorEastAsia" w:hAnsiTheme="minorEastAsia" w:hint="eastAsia"/>
          <w:b/>
          <w:bCs/>
          <w:sz w:val="24"/>
          <w:szCs w:val="24"/>
        </w:rPr>
        <w:t>一</w:t>
      </w:r>
      <w:r w:rsidRPr="00141727">
        <w:rPr>
          <w:rFonts w:asciiTheme="minorEastAsia" w:eastAsiaTheme="minorEastAsia" w:hAnsiTheme="minorEastAsia" w:hint="eastAsia"/>
          <w:b/>
          <w:bCs/>
          <w:sz w:val="24"/>
          <w:szCs w:val="24"/>
        </w:rPr>
        <w:t>：对肝素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原料药未来</w:t>
      </w:r>
      <w:r w:rsidRPr="00141727">
        <w:rPr>
          <w:rFonts w:asciiTheme="minorEastAsia" w:eastAsiaTheme="minorEastAsia" w:hAnsiTheme="minorEastAsia" w:hint="eastAsia"/>
          <w:b/>
          <w:bCs/>
          <w:sz w:val="24"/>
          <w:szCs w:val="24"/>
        </w:rPr>
        <w:t>价格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怎么看？</w:t>
      </w:r>
    </w:p>
    <w:p w14:paraId="2351C308" w14:textId="29EE9758" w:rsidR="00BC1D2F" w:rsidRPr="00E954E9" w:rsidRDefault="00BC1D2F" w:rsidP="00BC1D2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答：受国内猪瘟影响，国内生猪出栏量出现下滑，</w:t>
      </w:r>
      <w:r w:rsidR="00B13374">
        <w:rPr>
          <w:rFonts w:asciiTheme="minorEastAsia" w:eastAsiaTheme="minorEastAsia" w:hAnsiTheme="minorEastAsia" w:hint="eastAsia"/>
          <w:sz w:val="24"/>
          <w:szCs w:val="24"/>
        </w:rPr>
        <w:t>肝素粗品</w:t>
      </w:r>
      <w:r>
        <w:rPr>
          <w:rFonts w:asciiTheme="minorEastAsia" w:eastAsiaTheme="minorEastAsia" w:hAnsiTheme="minorEastAsia" w:hint="eastAsia"/>
          <w:sz w:val="24"/>
          <w:szCs w:val="24"/>
        </w:rPr>
        <w:t>供应短缺，导致肝素原料药价格较往年出现较大的涨幅，目前价格仍然维持在高位。肝素原料药未来的价格主要取决于猪瘟是否得到控制，生猪的出栏量</w:t>
      </w:r>
      <w:r w:rsidR="00B13374">
        <w:rPr>
          <w:rFonts w:asciiTheme="minorEastAsia" w:eastAsiaTheme="minorEastAsia" w:hAnsiTheme="minorEastAsia" w:hint="eastAsia"/>
          <w:sz w:val="24"/>
          <w:szCs w:val="24"/>
        </w:rPr>
        <w:t>能否</w:t>
      </w:r>
      <w:r>
        <w:rPr>
          <w:rFonts w:asciiTheme="minorEastAsia" w:eastAsiaTheme="minorEastAsia" w:hAnsiTheme="minorEastAsia" w:hint="eastAsia"/>
          <w:sz w:val="24"/>
          <w:szCs w:val="24"/>
        </w:rPr>
        <w:t>得到恢复。综合现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有的情况判断，我们预测</w:t>
      </w:r>
      <w:r w:rsidR="00B13374">
        <w:rPr>
          <w:rFonts w:asciiTheme="minorEastAsia" w:eastAsiaTheme="minorEastAsia" w:hAnsiTheme="minorEastAsia" w:hint="eastAsia"/>
          <w:sz w:val="24"/>
          <w:szCs w:val="24"/>
        </w:rPr>
        <w:t>至少</w:t>
      </w:r>
      <w:r>
        <w:rPr>
          <w:rFonts w:asciiTheme="minorEastAsia" w:eastAsiaTheme="minorEastAsia" w:hAnsiTheme="minorEastAsia" w:hint="eastAsia"/>
          <w:sz w:val="24"/>
          <w:szCs w:val="24"/>
        </w:rPr>
        <w:t>在目前一段时间内，肝素原料药的价格仍然会维持在高位。</w:t>
      </w:r>
    </w:p>
    <w:p w14:paraId="151B5564" w14:textId="0566343D" w:rsidR="00184AF0" w:rsidRDefault="00A51BE5" w:rsidP="00763DF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问题</w:t>
      </w:r>
      <w:r w:rsidR="00E06D07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4463A8">
        <w:rPr>
          <w:rFonts w:asciiTheme="minorEastAsia" w:eastAsiaTheme="minorEastAsia" w:hAnsiTheme="minorEastAsia" w:hint="eastAsia"/>
          <w:b/>
          <w:sz w:val="24"/>
          <w:szCs w:val="24"/>
        </w:rPr>
        <w:t>核医学的诊断与治疗相比于普通的诊疗手段有何优势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？</w:t>
      </w:r>
    </w:p>
    <w:p w14:paraId="2EB7FCD4" w14:textId="6775CFA7" w:rsidR="004463A8" w:rsidRPr="004463A8" w:rsidRDefault="00A51BE5" w:rsidP="004463A8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4463A8">
        <w:rPr>
          <w:rFonts w:asciiTheme="minorEastAsia" w:eastAsiaTheme="minorEastAsia" w:hAnsiTheme="minorEastAsia" w:hint="eastAsia"/>
          <w:sz w:val="24"/>
          <w:szCs w:val="24"/>
        </w:rPr>
        <w:t>核医学诊疗一体化</w:t>
      </w:r>
      <w:r w:rsidR="004463A8" w:rsidRPr="004463A8">
        <w:rPr>
          <w:rFonts w:asciiTheme="minorEastAsia" w:eastAsiaTheme="minorEastAsia" w:hAnsiTheme="minorEastAsia" w:hint="eastAsia"/>
          <w:sz w:val="24"/>
          <w:szCs w:val="24"/>
        </w:rPr>
        <w:t>主要原理是先用特异性配体与诊断核素连接，靶向到病灶部位，经</w:t>
      </w:r>
      <w:r w:rsidR="000451DE" w:rsidRPr="004463A8">
        <w:rPr>
          <w:rFonts w:asciiTheme="minorEastAsia" w:eastAsiaTheme="minorEastAsia" w:hAnsiTheme="minorEastAsia"/>
          <w:sz w:val="24"/>
          <w:szCs w:val="24"/>
        </w:rPr>
        <w:t>PET-CT,SPECT-</w:t>
      </w:r>
      <w:r w:rsidR="000451DE">
        <w:rPr>
          <w:rFonts w:asciiTheme="minorEastAsia" w:eastAsiaTheme="minorEastAsia" w:hAnsiTheme="minorEastAsia"/>
          <w:sz w:val="24"/>
          <w:szCs w:val="24"/>
        </w:rPr>
        <w:t>CT</w:t>
      </w:r>
      <w:r w:rsidR="000451DE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4463A8" w:rsidRPr="004463A8">
        <w:rPr>
          <w:rFonts w:asciiTheme="minorEastAsia" w:eastAsiaTheme="minorEastAsia" w:hAnsiTheme="minorEastAsia" w:hint="eastAsia"/>
          <w:sz w:val="24"/>
          <w:szCs w:val="24"/>
        </w:rPr>
        <w:t>设备显像精确的看到病灶目前</w:t>
      </w:r>
      <w:r w:rsidR="000451D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4463A8" w:rsidRPr="004463A8">
        <w:rPr>
          <w:rFonts w:asciiTheme="minorEastAsia" w:eastAsiaTheme="minorEastAsia" w:hAnsiTheme="minorEastAsia" w:hint="eastAsia"/>
          <w:sz w:val="24"/>
          <w:szCs w:val="24"/>
        </w:rPr>
        <w:t>状态；然后用治疗性核素，再次精确靶向到病灶部位，通过核素射线照射，治疗疾病。WE TREAT WHAT WE SEE</w:t>
      </w:r>
      <w:r w:rsidR="009620E9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463A8" w:rsidRPr="004463A8">
        <w:rPr>
          <w:rFonts w:asciiTheme="minorEastAsia" w:eastAsiaTheme="minorEastAsia" w:hAnsiTheme="minorEastAsia"/>
          <w:sz w:val="24"/>
          <w:szCs w:val="24"/>
        </w:rPr>
        <w:t>所以</w:t>
      </w:r>
      <w:r w:rsidR="009620E9">
        <w:rPr>
          <w:rFonts w:asciiTheme="minorEastAsia" w:eastAsiaTheme="minorEastAsia" w:hAnsiTheme="minorEastAsia" w:hint="eastAsia"/>
          <w:sz w:val="24"/>
          <w:szCs w:val="24"/>
        </w:rPr>
        <w:t>相比普通的诊疗手段，</w:t>
      </w:r>
      <w:r w:rsidR="00704F06">
        <w:rPr>
          <w:rFonts w:asciiTheme="minorEastAsia" w:eastAsiaTheme="minorEastAsia" w:hAnsiTheme="minorEastAsia" w:hint="eastAsia"/>
          <w:sz w:val="24"/>
          <w:szCs w:val="24"/>
        </w:rPr>
        <w:t>核医药</w:t>
      </w:r>
      <w:r w:rsidR="004463A8" w:rsidRPr="004463A8">
        <w:rPr>
          <w:rFonts w:asciiTheme="minorEastAsia" w:eastAsiaTheme="minorEastAsia" w:hAnsiTheme="minorEastAsia"/>
          <w:sz w:val="24"/>
          <w:szCs w:val="24"/>
        </w:rPr>
        <w:t>诊疗一体化是，看得见的精准医疗</w:t>
      </w:r>
      <w:r w:rsidR="00704F06">
        <w:rPr>
          <w:rFonts w:asciiTheme="minorEastAsia" w:eastAsiaTheme="minorEastAsia" w:hAnsiTheme="minorEastAsia" w:hint="eastAsia"/>
          <w:sz w:val="24"/>
          <w:szCs w:val="24"/>
        </w:rPr>
        <w:t>，具有独特的优势。</w:t>
      </w:r>
    </w:p>
    <w:p w14:paraId="07BF2735" w14:textId="2B9BC52B" w:rsidR="00D6179B" w:rsidRDefault="00D6179B" w:rsidP="00D6179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问题</w:t>
      </w:r>
      <w:r w:rsidR="00E06D07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F7308A">
        <w:rPr>
          <w:rFonts w:asciiTheme="minorEastAsia" w:eastAsiaTheme="minorEastAsia" w:hAnsiTheme="minorEastAsia" w:hint="eastAsia"/>
          <w:b/>
          <w:sz w:val="24"/>
          <w:szCs w:val="24"/>
        </w:rPr>
        <w:t>国家十四五pet-ct的配置规划情况？</w:t>
      </w:r>
    </w:p>
    <w:p w14:paraId="3363A5B0" w14:textId="23FDE01A" w:rsidR="00F7308A" w:rsidRDefault="00F7308A" w:rsidP="00763DF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答：据了解，国家相关单位正在组织</w:t>
      </w:r>
      <w:r w:rsidR="00B13374">
        <w:rPr>
          <w:rFonts w:asciiTheme="minorEastAsia" w:eastAsiaTheme="minorEastAsia" w:hAnsiTheme="minorEastAsia" w:hint="eastAsia"/>
          <w:sz w:val="24"/>
          <w:szCs w:val="24"/>
        </w:rPr>
        <w:t>有关</w:t>
      </w:r>
      <w:r>
        <w:rPr>
          <w:rFonts w:asciiTheme="minorEastAsia" w:eastAsiaTheme="minorEastAsia" w:hAnsiTheme="minorEastAsia" w:hint="eastAsia"/>
          <w:sz w:val="24"/>
          <w:szCs w:val="24"/>
        </w:rPr>
        <w:t>专家对十四五国内大型医疗设备配置规划进行</w:t>
      </w:r>
      <w:r w:rsidR="00B13374">
        <w:rPr>
          <w:rFonts w:asciiTheme="minorEastAsia" w:eastAsiaTheme="minorEastAsia" w:hAnsiTheme="minorEastAsia" w:hint="eastAsia"/>
          <w:sz w:val="24"/>
          <w:szCs w:val="24"/>
        </w:rPr>
        <w:t>讨论性</w:t>
      </w:r>
      <w:r>
        <w:rPr>
          <w:rFonts w:asciiTheme="minorEastAsia" w:eastAsiaTheme="minorEastAsia" w:hAnsiTheme="minorEastAsia" w:hint="eastAsia"/>
          <w:sz w:val="24"/>
          <w:szCs w:val="24"/>
        </w:rPr>
        <w:t>研究，</w:t>
      </w:r>
      <w:r w:rsidR="00562CDD">
        <w:rPr>
          <w:rFonts w:asciiTheme="minorEastAsia" w:eastAsiaTheme="minorEastAsia" w:hAnsiTheme="minorEastAsia" w:hint="eastAsia"/>
          <w:sz w:val="24"/>
          <w:szCs w:val="24"/>
        </w:rPr>
        <w:t>基于国内对大型医疗设备需求的不断增长，现有存量远远</w:t>
      </w:r>
      <w:r w:rsidR="00594EBD">
        <w:rPr>
          <w:rFonts w:asciiTheme="minorEastAsia" w:eastAsiaTheme="minorEastAsia" w:hAnsiTheme="minorEastAsia" w:hint="eastAsia"/>
          <w:sz w:val="24"/>
          <w:szCs w:val="24"/>
        </w:rPr>
        <w:t>不能满足国内居民的基本需求，</w:t>
      </w:r>
      <w:r>
        <w:rPr>
          <w:rFonts w:asciiTheme="minorEastAsia" w:eastAsiaTheme="minorEastAsia" w:hAnsiTheme="minorEastAsia" w:hint="eastAsia"/>
          <w:sz w:val="24"/>
          <w:szCs w:val="24"/>
        </w:rPr>
        <w:t>预计</w:t>
      </w:r>
      <w:r w:rsidR="00B13374">
        <w:rPr>
          <w:rFonts w:asciiTheme="minorEastAsia" w:eastAsiaTheme="minorEastAsia" w:hAnsiTheme="minorEastAsia" w:hint="eastAsia"/>
          <w:sz w:val="24"/>
          <w:szCs w:val="24"/>
        </w:rPr>
        <w:t>十四五的pet-ct数量</w:t>
      </w:r>
      <w:r>
        <w:rPr>
          <w:rFonts w:asciiTheme="minorEastAsia" w:eastAsiaTheme="minorEastAsia" w:hAnsiTheme="minorEastAsia" w:hint="eastAsia"/>
          <w:sz w:val="24"/>
          <w:szCs w:val="24"/>
        </w:rPr>
        <w:t>将在十三五配置规划数量的基础上</w:t>
      </w:r>
      <w:r w:rsidR="00594EBD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562CDD">
        <w:rPr>
          <w:rFonts w:asciiTheme="minorEastAsia" w:eastAsiaTheme="minorEastAsia" w:hAnsiTheme="minorEastAsia" w:hint="eastAsia"/>
          <w:sz w:val="24"/>
          <w:szCs w:val="24"/>
        </w:rPr>
        <w:t>增长</w:t>
      </w:r>
      <w:r w:rsidR="00594EBD">
        <w:rPr>
          <w:rFonts w:asciiTheme="minorEastAsia" w:eastAsiaTheme="minorEastAsia" w:hAnsiTheme="minorEastAsia" w:hint="eastAsia"/>
          <w:sz w:val="24"/>
          <w:szCs w:val="24"/>
        </w:rPr>
        <w:t>，具体增长数量及配置规划请以国家相关政策公告为准。</w:t>
      </w:r>
    </w:p>
    <w:p w14:paraId="394B1296" w14:textId="504896C4" w:rsidR="00BA7D96" w:rsidRDefault="00BA7D96" w:rsidP="00BA7D96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问题四：公司对核药领域未来的收购整合怎么看？</w:t>
      </w:r>
    </w:p>
    <w:p w14:paraId="1014D292" w14:textId="5A2AD083" w:rsidR="00BA7D96" w:rsidRDefault="00BA7D96" w:rsidP="00BA7D9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EB10D7">
        <w:rPr>
          <w:rFonts w:asciiTheme="minorEastAsia" w:eastAsiaTheme="minorEastAsia" w:hAnsiTheme="minorEastAsia" w:hint="eastAsia"/>
          <w:sz w:val="24"/>
          <w:szCs w:val="24"/>
        </w:rPr>
        <w:t>公司经过近几年的产业并购整合，现已基本形成集核素供应平台、药物孵化平台、转化服务平台、生产配送平台、诊疗营销平台共五大平台的闭环核医药生态网络。未来公司在整合现有核药标的的基础上，</w:t>
      </w:r>
      <w:r w:rsidR="00E06D07">
        <w:rPr>
          <w:rFonts w:asciiTheme="minorEastAsia" w:eastAsiaTheme="minorEastAsia" w:hAnsiTheme="minorEastAsia" w:hint="eastAsia"/>
          <w:sz w:val="24"/>
          <w:szCs w:val="24"/>
        </w:rPr>
        <w:t>不断</w:t>
      </w:r>
      <w:r w:rsidR="00EB10D7">
        <w:rPr>
          <w:rFonts w:asciiTheme="minorEastAsia" w:eastAsiaTheme="minorEastAsia" w:hAnsiTheme="minorEastAsia" w:hint="eastAsia"/>
          <w:sz w:val="24"/>
          <w:szCs w:val="24"/>
        </w:rPr>
        <w:t>完善产品管线</w:t>
      </w:r>
      <w:r w:rsidR="00E06D07">
        <w:rPr>
          <w:rFonts w:asciiTheme="minorEastAsia" w:eastAsiaTheme="minorEastAsia" w:hAnsiTheme="minorEastAsia" w:hint="eastAsia"/>
          <w:sz w:val="24"/>
          <w:szCs w:val="24"/>
        </w:rPr>
        <w:t>，将国内的优秀的核素药物和先进的核医学技术引进到国内，并通过公司的核医药生态网络快速转化上市，为医生提供丰富的诊疗手段，为患者提供有效的解决方案，以此推动中国核医药创新与发展。</w:t>
      </w:r>
    </w:p>
    <w:p w14:paraId="38F12CF8" w14:textId="235230CF" w:rsidR="00184AF0" w:rsidRDefault="00A51BE5" w:rsidP="00763DF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问题</w:t>
      </w:r>
      <w:r w:rsidR="00BC1D2F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E954E9">
        <w:rPr>
          <w:rFonts w:asciiTheme="minorEastAsia" w:eastAsiaTheme="minorEastAsia" w:hAnsiTheme="minorEastAsia" w:hint="eastAsia"/>
          <w:b/>
          <w:sz w:val="24"/>
          <w:szCs w:val="24"/>
        </w:rPr>
        <w:t>公司的核药房网络化布局规划，经济半径是多少？</w:t>
      </w:r>
    </w:p>
    <w:p w14:paraId="28A27431" w14:textId="321AA9B1" w:rsidR="00E954E9" w:rsidRDefault="00A51BE5" w:rsidP="00E954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B842BB" w:rsidRPr="00B842BB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254487">
        <w:rPr>
          <w:rFonts w:asciiTheme="minorEastAsia" w:eastAsiaTheme="minorEastAsia" w:hAnsiTheme="minorEastAsia" w:hint="eastAsia"/>
          <w:sz w:val="24"/>
          <w:szCs w:val="24"/>
        </w:rPr>
        <w:t>正电子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药物方面，目前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已运营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B45DA3">
        <w:rPr>
          <w:rFonts w:asciiTheme="minorEastAsia" w:eastAsiaTheme="minorEastAsia" w:hAnsiTheme="minorEastAsia"/>
          <w:sz w:val="24"/>
          <w:szCs w:val="24"/>
        </w:rPr>
        <w:t>3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个核药中心，正在建设中1</w:t>
      </w:r>
      <w:r w:rsidR="00B45DA3">
        <w:rPr>
          <w:rFonts w:asciiTheme="minorEastAsia" w:eastAsiaTheme="minorEastAsia" w:hAnsiTheme="minorEastAsia"/>
          <w:sz w:val="24"/>
          <w:szCs w:val="24"/>
        </w:rPr>
        <w:t>5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个核药中心，预计2</w:t>
      </w:r>
      <w:r w:rsidR="00B45DA3">
        <w:rPr>
          <w:rFonts w:asciiTheme="minorEastAsia" w:eastAsiaTheme="minorEastAsia" w:hAnsiTheme="minorEastAsia"/>
          <w:sz w:val="24"/>
          <w:szCs w:val="24"/>
        </w:rPr>
        <w:t>020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年将投入运营4-</w:t>
      </w:r>
      <w:r w:rsidR="00B45DA3">
        <w:rPr>
          <w:rFonts w:asciiTheme="minorEastAsia" w:eastAsiaTheme="minorEastAsia" w:hAnsiTheme="minorEastAsia"/>
          <w:sz w:val="24"/>
          <w:szCs w:val="24"/>
        </w:rPr>
        <w:t>5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个核药中心；</w:t>
      </w:r>
      <w:r w:rsidR="00254487">
        <w:rPr>
          <w:rFonts w:asciiTheme="minorEastAsia" w:eastAsiaTheme="minorEastAsia" w:hAnsiTheme="minorEastAsia" w:hint="eastAsia"/>
          <w:sz w:val="24"/>
          <w:szCs w:val="24"/>
        </w:rPr>
        <w:t>单光子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药物方面，目前已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投入运营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7个核药中心。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东诚的核药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中心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的布局基本思路为，短半衰期药品的网络化布局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长半衰期药品的基地化建设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到2022年底，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基本完成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以黑河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腾冲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线为分界线，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覆盖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国内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93.77%的人口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954E9" w:rsidRPr="00B842BB">
        <w:rPr>
          <w:rFonts w:asciiTheme="minorEastAsia" w:eastAsiaTheme="minorEastAsia" w:hAnsiTheme="minorEastAsia" w:hint="eastAsia"/>
          <w:sz w:val="24"/>
          <w:szCs w:val="24"/>
        </w:rPr>
        <w:t>全国核药网络化建设布局</w:t>
      </w:r>
      <w:r w:rsidR="00B45DA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52B0C99" w14:textId="7194DE9F" w:rsidR="00B45DA3" w:rsidRDefault="00B45DA3" w:rsidP="00E954E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不同放射性核素药物因半衰期不同，经济半径就不同。F</w:t>
      </w:r>
      <w:r>
        <w:rPr>
          <w:rFonts w:asciiTheme="minorEastAsia" w:eastAsiaTheme="minorEastAsia" w:hAnsiTheme="minorEastAsia"/>
          <w:sz w:val="24"/>
          <w:szCs w:val="24"/>
        </w:rPr>
        <w:t>DG</w:t>
      </w:r>
      <w:r>
        <w:rPr>
          <w:rFonts w:asciiTheme="minorEastAsia" w:eastAsiaTheme="minorEastAsia" w:hAnsiTheme="minorEastAsia" w:hint="eastAsia"/>
          <w:sz w:val="24"/>
          <w:szCs w:val="24"/>
        </w:rPr>
        <w:t>产品半衰期为1</w:t>
      </w:r>
      <w:r>
        <w:rPr>
          <w:rFonts w:asciiTheme="minorEastAsia" w:eastAsiaTheme="minorEastAsia" w:hAnsiTheme="minorEastAsia"/>
          <w:sz w:val="24"/>
          <w:szCs w:val="24"/>
        </w:rPr>
        <w:t>09</w:t>
      </w:r>
      <w:r>
        <w:rPr>
          <w:rFonts w:asciiTheme="minorEastAsia" w:eastAsiaTheme="minorEastAsia" w:hAnsiTheme="minorEastAsia" w:hint="eastAsia"/>
          <w:sz w:val="24"/>
          <w:szCs w:val="24"/>
        </w:rPr>
        <w:t>分钟，其所在的核药中心的经济半径车程在</w:t>
      </w:r>
      <w:r w:rsidR="00BA7D96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个小时</w:t>
      </w:r>
      <w:r w:rsidR="00BA7D96">
        <w:rPr>
          <w:rFonts w:asciiTheme="minorEastAsia" w:eastAsiaTheme="minorEastAsia" w:hAnsiTheme="minorEastAsia" w:hint="eastAsia"/>
          <w:sz w:val="24"/>
          <w:szCs w:val="24"/>
        </w:rPr>
        <w:t>左右</w:t>
      </w:r>
      <w:r>
        <w:rPr>
          <w:rFonts w:asciiTheme="minorEastAsia" w:eastAsiaTheme="minorEastAsia" w:hAnsiTheme="minorEastAsia" w:hint="eastAsia"/>
          <w:sz w:val="24"/>
          <w:szCs w:val="24"/>
        </w:rPr>
        <w:t>，覆盖半径距离在3</w:t>
      </w:r>
      <w:r>
        <w:rPr>
          <w:rFonts w:asciiTheme="minorEastAsia" w:eastAsiaTheme="minorEastAsia" w:hAnsiTheme="minorEastAsia"/>
          <w:sz w:val="24"/>
          <w:szCs w:val="24"/>
        </w:rPr>
        <w:t>00</w:t>
      </w:r>
      <w:r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/>
          <w:sz w:val="24"/>
          <w:szCs w:val="24"/>
        </w:rPr>
        <w:t>400</w:t>
      </w:r>
      <w:r>
        <w:rPr>
          <w:rFonts w:asciiTheme="minorEastAsia" w:eastAsiaTheme="minorEastAsia" w:hAnsiTheme="minorEastAsia" w:hint="eastAsia"/>
          <w:sz w:val="24"/>
          <w:szCs w:val="24"/>
        </w:rPr>
        <w:t>公里</w:t>
      </w:r>
      <w:r w:rsidR="00BA7D96">
        <w:rPr>
          <w:rFonts w:asciiTheme="minorEastAsia" w:eastAsiaTheme="minorEastAsia" w:hAnsiTheme="minorEastAsia" w:hint="eastAsia"/>
          <w:sz w:val="24"/>
          <w:szCs w:val="24"/>
        </w:rPr>
        <w:t>左右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B45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84AB" w14:textId="77777777" w:rsidR="00AD349E" w:rsidRDefault="00AD349E" w:rsidP="006A6F66">
      <w:r>
        <w:separator/>
      </w:r>
    </w:p>
  </w:endnote>
  <w:endnote w:type="continuationSeparator" w:id="0">
    <w:p w14:paraId="50F1C150" w14:textId="77777777" w:rsidR="00AD349E" w:rsidRDefault="00AD349E" w:rsidP="006A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D58D" w14:textId="77777777" w:rsidR="00AD349E" w:rsidRDefault="00AD349E" w:rsidP="006A6F66">
      <w:r>
        <w:separator/>
      </w:r>
    </w:p>
  </w:footnote>
  <w:footnote w:type="continuationSeparator" w:id="0">
    <w:p w14:paraId="4C83A58E" w14:textId="77777777" w:rsidR="00AD349E" w:rsidRDefault="00AD349E" w:rsidP="006A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ED"/>
    <w:rsid w:val="00001957"/>
    <w:rsid w:val="00011A15"/>
    <w:rsid w:val="00011FE6"/>
    <w:rsid w:val="000169DC"/>
    <w:rsid w:val="00020818"/>
    <w:rsid w:val="0002585B"/>
    <w:rsid w:val="0002641F"/>
    <w:rsid w:val="00026583"/>
    <w:rsid w:val="00026F60"/>
    <w:rsid w:val="00032AC5"/>
    <w:rsid w:val="00035492"/>
    <w:rsid w:val="00040ACC"/>
    <w:rsid w:val="000441DD"/>
    <w:rsid w:val="000451DE"/>
    <w:rsid w:val="00046ED6"/>
    <w:rsid w:val="00052910"/>
    <w:rsid w:val="000535ED"/>
    <w:rsid w:val="000546CA"/>
    <w:rsid w:val="00057096"/>
    <w:rsid w:val="000629C7"/>
    <w:rsid w:val="00067267"/>
    <w:rsid w:val="00071370"/>
    <w:rsid w:val="00074AC5"/>
    <w:rsid w:val="00081D0A"/>
    <w:rsid w:val="00082913"/>
    <w:rsid w:val="00083296"/>
    <w:rsid w:val="0008398A"/>
    <w:rsid w:val="00095759"/>
    <w:rsid w:val="000A1B2D"/>
    <w:rsid w:val="000A4382"/>
    <w:rsid w:val="000A68D5"/>
    <w:rsid w:val="000A6F69"/>
    <w:rsid w:val="000B068D"/>
    <w:rsid w:val="000B13F6"/>
    <w:rsid w:val="000C308A"/>
    <w:rsid w:val="000C3DF4"/>
    <w:rsid w:val="000C6595"/>
    <w:rsid w:val="000D3038"/>
    <w:rsid w:val="000D4966"/>
    <w:rsid w:val="000E6942"/>
    <w:rsid w:val="000E6EE4"/>
    <w:rsid w:val="000F4E21"/>
    <w:rsid w:val="001068BB"/>
    <w:rsid w:val="00113D3C"/>
    <w:rsid w:val="00120573"/>
    <w:rsid w:val="00120FDA"/>
    <w:rsid w:val="001250B3"/>
    <w:rsid w:val="00126B2C"/>
    <w:rsid w:val="00131E71"/>
    <w:rsid w:val="00132D7F"/>
    <w:rsid w:val="00136ED0"/>
    <w:rsid w:val="0013753B"/>
    <w:rsid w:val="00141727"/>
    <w:rsid w:val="00143AAE"/>
    <w:rsid w:val="0015524B"/>
    <w:rsid w:val="00160F53"/>
    <w:rsid w:val="00175FC9"/>
    <w:rsid w:val="00184AF0"/>
    <w:rsid w:val="0018588F"/>
    <w:rsid w:val="001944F4"/>
    <w:rsid w:val="00196DCA"/>
    <w:rsid w:val="001B0B00"/>
    <w:rsid w:val="001B37E6"/>
    <w:rsid w:val="001C7ADB"/>
    <w:rsid w:val="001D6599"/>
    <w:rsid w:val="001E35B7"/>
    <w:rsid w:val="001E388C"/>
    <w:rsid w:val="001E42DD"/>
    <w:rsid w:val="001E60BB"/>
    <w:rsid w:val="001F4BDB"/>
    <w:rsid w:val="00201409"/>
    <w:rsid w:val="0020205B"/>
    <w:rsid w:val="002023E9"/>
    <w:rsid w:val="00206A5C"/>
    <w:rsid w:val="00210B63"/>
    <w:rsid w:val="002248E8"/>
    <w:rsid w:val="002268C0"/>
    <w:rsid w:val="002328E8"/>
    <w:rsid w:val="00232ABC"/>
    <w:rsid w:val="00232B6E"/>
    <w:rsid w:val="00240A6D"/>
    <w:rsid w:val="00244BD2"/>
    <w:rsid w:val="00251DB9"/>
    <w:rsid w:val="00252106"/>
    <w:rsid w:val="00254487"/>
    <w:rsid w:val="00273D2E"/>
    <w:rsid w:val="00275664"/>
    <w:rsid w:val="0027611C"/>
    <w:rsid w:val="00277406"/>
    <w:rsid w:val="002852AD"/>
    <w:rsid w:val="002864C5"/>
    <w:rsid w:val="00292EAB"/>
    <w:rsid w:val="00296514"/>
    <w:rsid w:val="002B1EFB"/>
    <w:rsid w:val="002D1133"/>
    <w:rsid w:val="002D36E9"/>
    <w:rsid w:val="002D4EAD"/>
    <w:rsid w:val="002D711B"/>
    <w:rsid w:val="002E2EAA"/>
    <w:rsid w:val="002F4C90"/>
    <w:rsid w:val="002F4CBF"/>
    <w:rsid w:val="002F556C"/>
    <w:rsid w:val="002F60A6"/>
    <w:rsid w:val="003016CE"/>
    <w:rsid w:val="00304664"/>
    <w:rsid w:val="00311632"/>
    <w:rsid w:val="00325CC9"/>
    <w:rsid w:val="0033099A"/>
    <w:rsid w:val="003347CA"/>
    <w:rsid w:val="00337DC5"/>
    <w:rsid w:val="00346E9E"/>
    <w:rsid w:val="003478B1"/>
    <w:rsid w:val="00347B16"/>
    <w:rsid w:val="00360549"/>
    <w:rsid w:val="00363E0C"/>
    <w:rsid w:val="0036473E"/>
    <w:rsid w:val="0036588A"/>
    <w:rsid w:val="00365FE8"/>
    <w:rsid w:val="003666BD"/>
    <w:rsid w:val="00381915"/>
    <w:rsid w:val="003830A4"/>
    <w:rsid w:val="00391F37"/>
    <w:rsid w:val="003B079C"/>
    <w:rsid w:val="003B3464"/>
    <w:rsid w:val="003B5096"/>
    <w:rsid w:val="003B625E"/>
    <w:rsid w:val="003B70A8"/>
    <w:rsid w:val="003C29B1"/>
    <w:rsid w:val="003D1806"/>
    <w:rsid w:val="003D49FA"/>
    <w:rsid w:val="003D6D83"/>
    <w:rsid w:val="003E30A3"/>
    <w:rsid w:val="003E4B8E"/>
    <w:rsid w:val="004007B7"/>
    <w:rsid w:val="004009DE"/>
    <w:rsid w:val="004039F6"/>
    <w:rsid w:val="0040413D"/>
    <w:rsid w:val="00405914"/>
    <w:rsid w:val="00406690"/>
    <w:rsid w:val="0041022D"/>
    <w:rsid w:val="00414DB5"/>
    <w:rsid w:val="00415862"/>
    <w:rsid w:val="00435C33"/>
    <w:rsid w:val="00437385"/>
    <w:rsid w:val="004445EC"/>
    <w:rsid w:val="00445C0A"/>
    <w:rsid w:val="004463A8"/>
    <w:rsid w:val="004469C5"/>
    <w:rsid w:val="00446A0D"/>
    <w:rsid w:val="0045097A"/>
    <w:rsid w:val="004510EF"/>
    <w:rsid w:val="00454019"/>
    <w:rsid w:val="00464548"/>
    <w:rsid w:val="00470698"/>
    <w:rsid w:val="00471575"/>
    <w:rsid w:val="00471F91"/>
    <w:rsid w:val="00472651"/>
    <w:rsid w:val="004770CC"/>
    <w:rsid w:val="00492B3B"/>
    <w:rsid w:val="004B1B41"/>
    <w:rsid w:val="004B1D9E"/>
    <w:rsid w:val="004B20B1"/>
    <w:rsid w:val="004C30C6"/>
    <w:rsid w:val="004D3796"/>
    <w:rsid w:val="004D3D35"/>
    <w:rsid w:val="004D55A8"/>
    <w:rsid w:val="004E63F4"/>
    <w:rsid w:val="004F1291"/>
    <w:rsid w:val="004F2F22"/>
    <w:rsid w:val="004F6902"/>
    <w:rsid w:val="00505AA2"/>
    <w:rsid w:val="005122DD"/>
    <w:rsid w:val="005148E5"/>
    <w:rsid w:val="005207BE"/>
    <w:rsid w:val="00521249"/>
    <w:rsid w:val="00521B18"/>
    <w:rsid w:val="00524289"/>
    <w:rsid w:val="005303FD"/>
    <w:rsid w:val="00536E95"/>
    <w:rsid w:val="00537571"/>
    <w:rsid w:val="005430DF"/>
    <w:rsid w:val="0054731B"/>
    <w:rsid w:val="005521FD"/>
    <w:rsid w:val="00552760"/>
    <w:rsid w:val="005554FD"/>
    <w:rsid w:val="00560384"/>
    <w:rsid w:val="00562CDD"/>
    <w:rsid w:val="005667F1"/>
    <w:rsid w:val="00566B7A"/>
    <w:rsid w:val="0057485F"/>
    <w:rsid w:val="00577735"/>
    <w:rsid w:val="0058042B"/>
    <w:rsid w:val="005844EE"/>
    <w:rsid w:val="00594EBD"/>
    <w:rsid w:val="00597D30"/>
    <w:rsid w:val="005A1BC3"/>
    <w:rsid w:val="005A4CE6"/>
    <w:rsid w:val="005A6145"/>
    <w:rsid w:val="005A63BE"/>
    <w:rsid w:val="005B377D"/>
    <w:rsid w:val="005B6FA4"/>
    <w:rsid w:val="005C57E7"/>
    <w:rsid w:val="005D4A3B"/>
    <w:rsid w:val="005D6410"/>
    <w:rsid w:val="005E67BA"/>
    <w:rsid w:val="005E77B8"/>
    <w:rsid w:val="005F0F1A"/>
    <w:rsid w:val="005F2589"/>
    <w:rsid w:val="00610409"/>
    <w:rsid w:val="00617584"/>
    <w:rsid w:val="00617815"/>
    <w:rsid w:val="00621D6F"/>
    <w:rsid w:val="00624D9E"/>
    <w:rsid w:val="00630D20"/>
    <w:rsid w:val="0063123E"/>
    <w:rsid w:val="00634E6B"/>
    <w:rsid w:val="00640419"/>
    <w:rsid w:val="00646544"/>
    <w:rsid w:val="00652528"/>
    <w:rsid w:val="00655427"/>
    <w:rsid w:val="00656A1F"/>
    <w:rsid w:val="0066519C"/>
    <w:rsid w:val="00665754"/>
    <w:rsid w:val="00674B90"/>
    <w:rsid w:val="00675D62"/>
    <w:rsid w:val="006812A7"/>
    <w:rsid w:val="0068371F"/>
    <w:rsid w:val="00685BE4"/>
    <w:rsid w:val="00687B35"/>
    <w:rsid w:val="006913ED"/>
    <w:rsid w:val="0069263B"/>
    <w:rsid w:val="0069790D"/>
    <w:rsid w:val="00697A3A"/>
    <w:rsid w:val="006A5BC9"/>
    <w:rsid w:val="006A6F66"/>
    <w:rsid w:val="006B6608"/>
    <w:rsid w:val="006C1E63"/>
    <w:rsid w:val="006D04DA"/>
    <w:rsid w:val="006D1B3E"/>
    <w:rsid w:val="006E1626"/>
    <w:rsid w:val="006E5225"/>
    <w:rsid w:val="006F2BE5"/>
    <w:rsid w:val="006F409D"/>
    <w:rsid w:val="006F65F9"/>
    <w:rsid w:val="00702C2A"/>
    <w:rsid w:val="00704F06"/>
    <w:rsid w:val="00705EA6"/>
    <w:rsid w:val="00710021"/>
    <w:rsid w:val="0072374D"/>
    <w:rsid w:val="00735897"/>
    <w:rsid w:val="00736AD6"/>
    <w:rsid w:val="00746DF0"/>
    <w:rsid w:val="00763DFB"/>
    <w:rsid w:val="00767FB0"/>
    <w:rsid w:val="0077525E"/>
    <w:rsid w:val="00785CB0"/>
    <w:rsid w:val="007965FA"/>
    <w:rsid w:val="00796D1F"/>
    <w:rsid w:val="0079701D"/>
    <w:rsid w:val="007976CF"/>
    <w:rsid w:val="007A0958"/>
    <w:rsid w:val="007A44B6"/>
    <w:rsid w:val="007A738F"/>
    <w:rsid w:val="007B5F72"/>
    <w:rsid w:val="007C05CE"/>
    <w:rsid w:val="007C3CC3"/>
    <w:rsid w:val="007C4864"/>
    <w:rsid w:val="007D1F9E"/>
    <w:rsid w:val="007D6877"/>
    <w:rsid w:val="007E1E77"/>
    <w:rsid w:val="007E39F7"/>
    <w:rsid w:val="007E3F89"/>
    <w:rsid w:val="007E4DB8"/>
    <w:rsid w:val="007F37D5"/>
    <w:rsid w:val="007F64FA"/>
    <w:rsid w:val="007F7ABC"/>
    <w:rsid w:val="007F7C8A"/>
    <w:rsid w:val="00806256"/>
    <w:rsid w:val="00807FEE"/>
    <w:rsid w:val="008147B7"/>
    <w:rsid w:val="00817750"/>
    <w:rsid w:val="00824CEC"/>
    <w:rsid w:val="008276BE"/>
    <w:rsid w:val="008312F2"/>
    <w:rsid w:val="00835771"/>
    <w:rsid w:val="00836081"/>
    <w:rsid w:val="008368D7"/>
    <w:rsid w:val="00837FF2"/>
    <w:rsid w:val="00843230"/>
    <w:rsid w:val="0084378F"/>
    <w:rsid w:val="008513C0"/>
    <w:rsid w:val="0086160A"/>
    <w:rsid w:val="00863888"/>
    <w:rsid w:val="00864E23"/>
    <w:rsid w:val="00882E53"/>
    <w:rsid w:val="0088671F"/>
    <w:rsid w:val="00892975"/>
    <w:rsid w:val="008A0406"/>
    <w:rsid w:val="008A373B"/>
    <w:rsid w:val="008A38ED"/>
    <w:rsid w:val="008A7301"/>
    <w:rsid w:val="008A75ED"/>
    <w:rsid w:val="008B1342"/>
    <w:rsid w:val="008B1CC0"/>
    <w:rsid w:val="008B2FB0"/>
    <w:rsid w:val="008B45F6"/>
    <w:rsid w:val="008B673D"/>
    <w:rsid w:val="008B7FBF"/>
    <w:rsid w:val="008C12F9"/>
    <w:rsid w:val="008C1B4F"/>
    <w:rsid w:val="008C372F"/>
    <w:rsid w:val="008C430F"/>
    <w:rsid w:val="008D5FE4"/>
    <w:rsid w:val="008E00F5"/>
    <w:rsid w:val="008E4DF4"/>
    <w:rsid w:val="008E59D8"/>
    <w:rsid w:val="008E7A9D"/>
    <w:rsid w:val="008F05E1"/>
    <w:rsid w:val="008F53C8"/>
    <w:rsid w:val="008F6291"/>
    <w:rsid w:val="009043CC"/>
    <w:rsid w:val="0090710E"/>
    <w:rsid w:val="0091118B"/>
    <w:rsid w:val="0091164D"/>
    <w:rsid w:val="009134AB"/>
    <w:rsid w:val="009143FF"/>
    <w:rsid w:val="009144F3"/>
    <w:rsid w:val="00915F3E"/>
    <w:rsid w:val="009209A1"/>
    <w:rsid w:val="009318A2"/>
    <w:rsid w:val="00935B95"/>
    <w:rsid w:val="00943F47"/>
    <w:rsid w:val="00950FFB"/>
    <w:rsid w:val="00956C2B"/>
    <w:rsid w:val="00957DA2"/>
    <w:rsid w:val="009620B0"/>
    <w:rsid w:val="009620E9"/>
    <w:rsid w:val="00970C51"/>
    <w:rsid w:val="009763A7"/>
    <w:rsid w:val="00977AE2"/>
    <w:rsid w:val="00981C44"/>
    <w:rsid w:val="009955A4"/>
    <w:rsid w:val="009A1B3E"/>
    <w:rsid w:val="009A2F94"/>
    <w:rsid w:val="009A4196"/>
    <w:rsid w:val="009B3BDE"/>
    <w:rsid w:val="009B722C"/>
    <w:rsid w:val="009C01F5"/>
    <w:rsid w:val="009C0E6C"/>
    <w:rsid w:val="009C67E8"/>
    <w:rsid w:val="009D4A14"/>
    <w:rsid w:val="009D4BE3"/>
    <w:rsid w:val="009D5B8D"/>
    <w:rsid w:val="009F1330"/>
    <w:rsid w:val="009F2B56"/>
    <w:rsid w:val="009F361D"/>
    <w:rsid w:val="009F5723"/>
    <w:rsid w:val="009F573A"/>
    <w:rsid w:val="009F6C04"/>
    <w:rsid w:val="00A000C8"/>
    <w:rsid w:val="00A01962"/>
    <w:rsid w:val="00A02B18"/>
    <w:rsid w:val="00A0329F"/>
    <w:rsid w:val="00A07EEE"/>
    <w:rsid w:val="00A1086F"/>
    <w:rsid w:val="00A110C7"/>
    <w:rsid w:val="00A14B1D"/>
    <w:rsid w:val="00A166AF"/>
    <w:rsid w:val="00A201B5"/>
    <w:rsid w:val="00A218AC"/>
    <w:rsid w:val="00A32266"/>
    <w:rsid w:val="00A3775C"/>
    <w:rsid w:val="00A3783E"/>
    <w:rsid w:val="00A42BA3"/>
    <w:rsid w:val="00A5068F"/>
    <w:rsid w:val="00A51BE5"/>
    <w:rsid w:val="00A56F29"/>
    <w:rsid w:val="00A6150F"/>
    <w:rsid w:val="00A6749C"/>
    <w:rsid w:val="00A71E72"/>
    <w:rsid w:val="00A71EBF"/>
    <w:rsid w:val="00A7466D"/>
    <w:rsid w:val="00A77B20"/>
    <w:rsid w:val="00A80254"/>
    <w:rsid w:val="00A80C23"/>
    <w:rsid w:val="00A815BE"/>
    <w:rsid w:val="00A84388"/>
    <w:rsid w:val="00A86205"/>
    <w:rsid w:val="00A941E4"/>
    <w:rsid w:val="00AB34E5"/>
    <w:rsid w:val="00AB5146"/>
    <w:rsid w:val="00AB71DB"/>
    <w:rsid w:val="00AC0A12"/>
    <w:rsid w:val="00AC0C25"/>
    <w:rsid w:val="00AC3CF2"/>
    <w:rsid w:val="00AC3E5E"/>
    <w:rsid w:val="00AC44CD"/>
    <w:rsid w:val="00AD01F1"/>
    <w:rsid w:val="00AD349E"/>
    <w:rsid w:val="00AD3C37"/>
    <w:rsid w:val="00AD7C61"/>
    <w:rsid w:val="00AF06C1"/>
    <w:rsid w:val="00AF3BBA"/>
    <w:rsid w:val="00AF41DC"/>
    <w:rsid w:val="00AF7D4A"/>
    <w:rsid w:val="00B13374"/>
    <w:rsid w:val="00B13DC8"/>
    <w:rsid w:val="00B14EB1"/>
    <w:rsid w:val="00B245C1"/>
    <w:rsid w:val="00B26671"/>
    <w:rsid w:val="00B270FB"/>
    <w:rsid w:val="00B31AED"/>
    <w:rsid w:val="00B3540B"/>
    <w:rsid w:val="00B37E4C"/>
    <w:rsid w:val="00B45DA3"/>
    <w:rsid w:val="00B52D98"/>
    <w:rsid w:val="00B642F2"/>
    <w:rsid w:val="00B654BB"/>
    <w:rsid w:val="00B67DB2"/>
    <w:rsid w:val="00B70F5F"/>
    <w:rsid w:val="00B7372F"/>
    <w:rsid w:val="00B7516A"/>
    <w:rsid w:val="00B842BB"/>
    <w:rsid w:val="00B85FE5"/>
    <w:rsid w:val="00B937F5"/>
    <w:rsid w:val="00B9395C"/>
    <w:rsid w:val="00B9612B"/>
    <w:rsid w:val="00B96FF1"/>
    <w:rsid w:val="00BA1322"/>
    <w:rsid w:val="00BA2769"/>
    <w:rsid w:val="00BA5965"/>
    <w:rsid w:val="00BA7D96"/>
    <w:rsid w:val="00BB2028"/>
    <w:rsid w:val="00BB2F42"/>
    <w:rsid w:val="00BC1D2F"/>
    <w:rsid w:val="00BD5319"/>
    <w:rsid w:val="00BF12FC"/>
    <w:rsid w:val="00BF2180"/>
    <w:rsid w:val="00BF39B0"/>
    <w:rsid w:val="00BF5158"/>
    <w:rsid w:val="00C069EE"/>
    <w:rsid w:val="00C25931"/>
    <w:rsid w:val="00C378DD"/>
    <w:rsid w:val="00C37BF7"/>
    <w:rsid w:val="00C37D88"/>
    <w:rsid w:val="00C4747D"/>
    <w:rsid w:val="00C522D4"/>
    <w:rsid w:val="00C53AA8"/>
    <w:rsid w:val="00C611E0"/>
    <w:rsid w:val="00C67831"/>
    <w:rsid w:val="00C709EE"/>
    <w:rsid w:val="00C77C0C"/>
    <w:rsid w:val="00C84B8F"/>
    <w:rsid w:val="00C93363"/>
    <w:rsid w:val="00CA2C06"/>
    <w:rsid w:val="00CA4937"/>
    <w:rsid w:val="00CB451C"/>
    <w:rsid w:val="00CB5854"/>
    <w:rsid w:val="00CC4E28"/>
    <w:rsid w:val="00CD03DF"/>
    <w:rsid w:val="00CD4276"/>
    <w:rsid w:val="00CE1E11"/>
    <w:rsid w:val="00CE39C2"/>
    <w:rsid w:val="00CF0F25"/>
    <w:rsid w:val="00CF58B8"/>
    <w:rsid w:val="00CF6195"/>
    <w:rsid w:val="00CF72CB"/>
    <w:rsid w:val="00D002EA"/>
    <w:rsid w:val="00D058C1"/>
    <w:rsid w:val="00D0672B"/>
    <w:rsid w:val="00D06BFF"/>
    <w:rsid w:val="00D157D2"/>
    <w:rsid w:val="00D239D0"/>
    <w:rsid w:val="00D25276"/>
    <w:rsid w:val="00D274BD"/>
    <w:rsid w:val="00D31739"/>
    <w:rsid w:val="00D325B0"/>
    <w:rsid w:val="00D334DA"/>
    <w:rsid w:val="00D37242"/>
    <w:rsid w:val="00D37DF7"/>
    <w:rsid w:val="00D43441"/>
    <w:rsid w:val="00D50D0E"/>
    <w:rsid w:val="00D52736"/>
    <w:rsid w:val="00D6158A"/>
    <w:rsid w:val="00D616C1"/>
    <w:rsid w:val="00D6179B"/>
    <w:rsid w:val="00D67B3B"/>
    <w:rsid w:val="00D71583"/>
    <w:rsid w:val="00D93EE4"/>
    <w:rsid w:val="00D94617"/>
    <w:rsid w:val="00D977FB"/>
    <w:rsid w:val="00DB273C"/>
    <w:rsid w:val="00DB5B9F"/>
    <w:rsid w:val="00DC12AD"/>
    <w:rsid w:val="00DC17D9"/>
    <w:rsid w:val="00DD1CC9"/>
    <w:rsid w:val="00DD2A0A"/>
    <w:rsid w:val="00DD436F"/>
    <w:rsid w:val="00DE1EBF"/>
    <w:rsid w:val="00DE336C"/>
    <w:rsid w:val="00DE4A48"/>
    <w:rsid w:val="00DE60AE"/>
    <w:rsid w:val="00DE70CA"/>
    <w:rsid w:val="00DE7A9A"/>
    <w:rsid w:val="00DF5ED5"/>
    <w:rsid w:val="00DF7345"/>
    <w:rsid w:val="00E05D39"/>
    <w:rsid w:val="00E06D07"/>
    <w:rsid w:val="00E07D3E"/>
    <w:rsid w:val="00E105F8"/>
    <w:rsid w:val="00E301FA"/>
    <w:rsid w:val="00E33AE2"/>
    <w:rsid w:val="00E4209E"/>
    <w:rsid w:val="00E44FD4"/>
    <w:rsid w:val="00E51AE8"/>
    <w:rsid w:val="00E528DD"/>
    <w:rsid w:val="00E52B5A"/>
    <w:rsid w:val="00E54AE8"/>
    <w:rsid w:val="00E568CF"/>
    <w:rsid w:val="00E65DB1"/>
    <w:rsid w:val="00E71792"/>
    <w:rsid w:val="00E730D5"/>
    <w:rsid w:val="00E759AA"/>
    <w:rsid w:val="00E7757C"/>
    <w:rsid w:val="00E8065B"/>
    <w:rsid w:val="00E81E57"/>
    <w:rsid w:val="00E8328A"/>
    <w:rsid w:val="00E87593"/>
    <w:rsid w:val="00E92EAB"/>
    <w:rsid w:val="00E954E9"/>
    <w:rsid w:val="00E95D65"/>
    <w:rsid w:val="00EB10D7"/>
    <w:rsid w:val="00EB1D76"/>
    <w:rsid w:val="00EC1DC4"/>
    <w:rsid w:val="00EC3A77"/>
    <w:rsid w:val="00EC54F3"/>
    <w:rsid w:val="00ED1C76"/>
    <w:rsid w:val="00EF215D"/>
    <w:rsid w:val="00EF2E5E"/>
    <w:rsid w:val="00EF5E20"/>
    <w:rsid w:val="00F00039"/>
    <w:rsid w:val="00F0147D"/>
    <w:rsid w:val="00F1234F"/>
    <w:rsid w:val="00F24BDD"/>
    <w:rsid w:val="00F25BB4"/>
    <w:rsid w:val="00F27611"/>
    <w:rsid w:val="00F309A4"/>
    <w:rsid w:val="00F374AF"/>
    <w:rsid w:val="00F4485C"/>
    <w:rsid w:val="00F44C36"/>
    <w:rsid w:val="00F44E5F"/>
    <w:rsid w:val="00F5322C"/>
    <w:rsid w:val="00F54E06"/>
    <w:rsid w:val="00F6647E"/>
    <w:rsid w:val="00F6687D"/>
    <w:rsid w:val="00F6707E"/>
    <w:rsid w:val="00F70116"/>
    <w:rsid w:val="00F72B2B"/>
    <w:rsid w:val="00F7308A"/>
    <w:rsid w:val="00F73EE1"/>
    <w:rsid w:val="00F84B15"/>
    <w:rsid w:val="00F85FC0"/>
    <w:rsid w:val="00F87CB7"/>
    <w:rsid w:val="00F9102E"/>
    <w:rsid w:val="00F93715"/>
    <w:rsid w:val="00F978FA"/>
    <w:rsid w:val="00FA3127"/>
    <w:rsid w:val="00FB080A"/>
    <w:rsid w:val="00FB280C"/>
    <w:rsid w:val="00FB3DC3"/>
    <w:rsid w:val="00FC4306"/>
    <w:rsid w:val="00FC49E8"/>
    <w:rsid w:val="00FC5657"/>
    <w:rsid w:val="00FD1EE2"/>
    <w:rsid w:val="00FD47CD"/>
    <w:rsid w:val="00FD77DD"/>
    <w:rsid w:val="00FE0F74"/>
    <w:rsid w:val="00FF20EC"/>
    <w:rsid w:val="56B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EDD6"/>
  <w15:docId w15:val="{9E3AEB55-348E-47AE-A5FF-DD08D2BB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招股正文"/>
    <w:link w:val="Char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宋体" w:cs="Times New Roman"/>
      <w:sz w:val="24"/>
      <w:szCs w:val="22"/>
    </w:rPr>
  </w:style>
  <w:style w:type="character" w:customStyle="1" w:styleId="Char">
    <w:name w:val="招股正文 Char"/>
    <w:link w:val="ae"/>
    <w:qFormat/>
    <w:rPr>
      <w:rFonts w:ascii="宋体" w:eastAsia="宋体" w:hAnsi="宋体" w:cs="Times New Roman"/>
      <w:kern w:val="0"/>
      <w:sz w:val="24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HCSTYLESUMMARYCONTENT">
    <w:name w:val="HC_STYLE_SUMMARY_CONTENT"/>
    <w:qFormat/>
    <w:pPr>
      <w:widowControl w:val="0"/>
      <w:spacing w:afterLines="20"/>
      <w:jc w:val="both"/>
    </w:pPr>
    <w:rPr>
      <w:rFonts w:ascii="Arial" w:eastAsia="宋体" w:hAnsi="Arial" w:cs="Times New Roman"/>
      <w:color w:val="0C345C"/>
      <w:kern w:val="2"/>
      <w:szCs w:val="22"/>
    </w:rPr>
  </w:style>
  <w:style w:type="paragraph" w:customStyle="1" w:styleId="HCSTYTLECONTENTCONTENT">
    <w:name w:val="HC_STYTLE_CONTENT_CONTENT"/>
    <w:qFormat/>
    <w:pPr>
      <w:widowControl w:val="0"/>
      <w:spacing w:beforeLines="50" w:afterLines="50"/>
      <w:jc w:val="both"/>
    </w:pPr>
    <w:rPr>
      <w:rFonts w:ascii="Arial" w:eastAsia="宋体" w:hAnsi="Arial" w:cs="Times New Roman"/>
      <w:bCs/>
      <w:color w:val="0C345C"/>
      <w:kern w:val="44"/>
      <w:sz w:val="21"/>
      <w:szCs w:val="44"/>
    </w:rPr>
  </w:style>
  <w:style w:type="paragraph" w:styleId="af">
    <w:name w:val="Normal (Web)"/>
    <w:basedOn w:val="a"/>
    <w:uiPriority w:val="99"/>
    <w:semiHidden/>
    <w:unhideWhenUsed/>
    <w:rsid w:val="00C259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4BB7B5-0EF1-4FEA-A752-23302AC2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王永辉</dc:creator>
  <cp:lastModifiedBy>李季</cp:lastModifiedBy>
  <cp:revision>217</cp:revision>
  <cp:lastPrinted>2020-03-17T16:50:00Z</cp:lastPrinted>
  <dcterms:created xsi:type="dcterms:W3CDTF">2017-08-16T17:55:00Z</dcterms:created>
  <dcterms:modified xsi:type="dcterms:W3CDTF">2020-06-11T07:05:00Z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