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83F1" w14:textId="77777777" w:rsidR="00A54DA5" w:rsidRPr="00C81363" w:rsidRDefault="00843759" w:rsidP="00C81363">
      <w:pPr>
        <w:spacing w:after="220"/>
        <w:rPr>
          <w:rFonts w:eastAsiaTheme="minorEastAsia"/>
        </w:rPr>
      </w:pPr>
      <w:r>
        <w:rPr>
          <w:rFonts w:ascii="宋体" w:eastAsia="宋体" w:hAnsi="宋体" w:cs="宋体"/>
          <w:sz w:val="24"/>
        </w:rPr>
        <w:t>证券代码：</w:t>
      </w:r>
      <w:r>
        <w:rPr>
          <w:rFonts w:ascii="宋体" w:eastAsia="宋体" w:hAnsi="宋体" w:cs="宋体" w:hint="eastAsia"/>
          <w:sz w:val="24"/>
        </w:rPr>
        <w:t>68800</w:t>
      </w:r>
      <w:r w:rsidR="00F14E77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 xml:space="preserve">                                   </w:t>
      </w:r>
      <w:r w:rsidR="00595828">
        <w:rPr>
          <w:rFonts w:ascii="宋体" w:eastAsia="宋体" w:hAnsi="宋体" w:cs="宋体"/>
          <w:sz w:val="24"/>
        </w:rPr>
        <w:t>证券简称：</w:t>
      </w:r>
      <w:proofErr w:type="gramStart"/>
      <w:r w:rsidR="00F14E77">
        <w:rPr>
          <w:rFonts w:ascii="宋体" w:eastAsia="宋体" w:hAnsi="宋体" w:cs="宋体" w:hint="eastAsia"/>
          <w:sz w:val="24"/>
        </w:rPr>
        <w:t>杭可科技</w:t>
      </w:r>
      <w:proofErr w:type="gramEnd"/>
      <w:r w:rsidR="00595828">
        <w:rPr>
          <w:rFonts w:ascii="宋体" w:eastAsia="宋体" w:hAnsi="宋体" w:cs="宋体" w:hint="eastAsia"/>
          <w:sz w:val="24"/>
        </w:rPr>
        <w:t xml:space="preserve"> </w:t>
      </w:r>
      <w:r w:rsidR="00595828">
        <w:rPr>
          <w:rFonts w:ascii="宋体" w:eastAsia="宋体" w:hAnsi="宋体" w:cs="宋体"/>
          <w:sz w:val="24"/>
        </w:rPr>
        <w:t xml:space="preserve">       </w:t>
      </w:r>
      <w:r w:rsidR="00E0201F">
        <w:rPr>
          <w:rFonts w:ascii="宋体" w:eastAsia="宋体" w:hAnsi="宋体" w:cs="宋体"/>
          <w:sz w:val="24"/>
        </w:rPr>
        <w:t xml:space="preserve">     </w:t>
      </w:r>
      <w:r w:rsidR="00595828">
        <w:rPr>
          <w:rFonts w:ascii="宋体" w:eastAsia="宋体" w:hAnsi="宋体" w:cs="宋体"/>
          <w:sz w:val="24"/>
        </w:rPr>
        <w:t xml:space="preserve">                     </w:t>
      </w:r>
      <w:r w:rsidR="00E0201F">
        <w:rPr>
          <w:rFonts w:ascii="宋体" w:eastAsia="宋体" w:hAnsi="宋体" w:cs="宋体"/>
          <w:sz w:val="24"/>
        </w:rPr>
        <w:t xml:space="preserve">        </w:t>
      </w:r>
    </w:p>
    <w:p w14:paraId="3C238E17" w14:textId="77777777" w:rsidR="00BE6EB3" w:rsidRPr="00595828" w:rsidRDefault="00F14E77" w:rsidP="00F14E77">
      <w:pPr>
        <w:spacing w:after="0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浙江杭可</w:t>
      </w:r>
      <w:r w:rsidR="00E0201F" w:rsidRPr="00595828">
        <w:rPr>
          <w:rFonts w:ascii="宋体" w:eastAsia="宋体" w:hAnsi="宋体" w:cs="宋体"/>
          <w:b/>
          <w:sz w:val="32"/>
        </w:rPr>
        <w:t>科技股份有限公司投资者关系活动记录表</w:t>
      </w:r>
    </w:p>
    <w:p w14:paraId="3B0EE485" w14:textId="312F74EA" w:rsidR="00A54DA5" w:rsidRDefault="00E0201F">
      <w:pPr>
        <w:spacing w:after="0"/>
        <w:ind w:left="1179"/>
        <w:jc w:val="right"/>
      </w:pPr>
      <w:r>
        <w:rPr>
          <w:rFonts w:ascii="宋体" w:eastAsia="宋体" w:hAnsi="宋体" w:cs="宋体"/>
          <w:sz w:val="21"/>
        </w:rPr>
        <w:t xml:space="preserve">编号： </w:t>
      </w:r>
      <w:r w:rsidR="00843759">
        <w:rPr>
          <w:rFonts w:ascii="宋体" w:eastAsia="宋体" w:hAnsi="宋体" w:cs="宋体"/>
          <w:sz w:val="21"/>
        </w:rPr>
        <w:t>20</w:t>
      </w:r>
      <w:r w:rsidR="00AE3476">
        <w:rPr>
          <w:rFonts w:ascii="宋体" w:eastAsia="宋体" w:hAnsi="宋体" w:cs="宋体" w:hint="eastAsia"/>
          <w:sz w:val="21"/>
        </w:rPr>
        <w:t>20</w:t>
      </w:r>
      <w:r w:rsidR="00843759">
        <w:rPr>
          <w:rFonts w:ascii="宋体" w:eastAsia="宋体" w:hAnsi="宋体" w:cs="宋体" w:hint="eastAsia"/>
          <w:sz w:val="21"/>
        </w:rPr>
        <w:t>-</w:t>
      </w:r>
      <w:r w:rsidR="00843759">
        <w:rPr>
          <w:rFonts w:ascii="宋体" w:eastAsia="宋体" w:hAnsi="宋体" w:cs="宋体"/>
          <w:sz w:val="21"/>
        </w:rPr>
        <w:t>00</w:t>
      </w:r>
      <w:r w:rsidR="00956BF8">
        <w:rPr>
          <w:rFonts w:ascii="宋体" w:eastAsia="宋体" w:hAnsi="宋体" w:cs="宋体" w:hint="eastAsia"/>
          <w:sz w:val="21"/>
        </w:rPr>
        <w:t>2</w:t>
      </w:r>
    </w:p>
    <w:tbl>
      <w:tblPr>
        <w:tblStyle w:val="TableGrid"/>
        <w:tblW w:w="9976" w:type="dxa"/>
        <w:jc w:val="center"/>
        <w:tblInd w:w="0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2100"/>
        <w:gridCol w:w="7876"/>
      </w:tblGrid>
      <w:tr w:rsidR="00A54DA5" w:rsidRPr="00843759" w14:paraId="7BDC1A1F" w14:textId="77777777" w:rsidTr="009C480E">
        <w:trPr>
          <w:trHeight w:val="2292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85D4" w14:textId="77777777" w:rsidR="00A54DA5" w:rsidRPr="00843759" w:rsidRDefault="00E0201F" w:rsidP="00843759">
            <w:pPr>
              <w:snapToGrid w:val="0"/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7E2BE" w14:textId="77777777" w:rsidR="00A54DA5" w:rsidRPr="00843759" w:rsidRDefault="00843759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 w:hint="eastAsia"/>
                <w:sz w:val="24"/>
                <w:szCs w:val="24"/>
              </w:rPr>
              <w:t>■</w:t>
            </w:r>
            <w:r w:rsidR="00E0201F" w:rsidRPr="00843759">
              <w:rPr>
                <w:rFonts w:ascii="宋体" w:eastAsia="宋体" w:hAnsi="宋体" w:cs="宋体"/>
                <w:sz w:val="24"/>
                <w:szCs w:val="24"/>
              </w:rPr>
              <w:t xml:space="preserve">特定对象调研        □分析师会议 </w:t>
            </w:r>
          </w:p>
          <w:p w14:paraId="4BA26CDD" w14:textId="77777777" w:rsidR="00A54DA5" w:rsidRPr="00843759" w:rsidRDefault="00E0201F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sz w:val="24"/>
                <w:szCs w:val="24"/>
              </w:rPr>
              <w:t xml:space="preserve">□媒体采访            □业绩说明会 </w:t>
            </w:r>
          </w:p>
          <w:p w14:paraId="31372BF5" w14:textId="77777777" w:rsidR="00A54DA5" w:rsidRPr="00843759" w:rsidRDefault="00E0201F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sz w:val="24"/>
                <w:szCs w:val="24"/>
              </w:rPr>
              <w:t xml:space="preserve">□新闻发布会          □路演活动 </w:t>
            </w:r>
          </w:p>
          <w:p w14:paraId="2C9E2F65" w14:textId="77777777" w:rsidR="00A54DA5" w:rsidRPr="00843759" w:rsidRDefault="00E0201F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sz w:val="24"/>
                <w:szCs w:val="24"/>
              </w:rPr>
              <w:t xml:space="preserve">□现场参观            </w:t>
            </w:r>
            <w:r w:rsidRPr="0026533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843759">
              <w:rPr>
                <w:rFonts w:ascii="宋体" w:eastAsia="宋体" w:hAnsi="宋体" w:cs="宋体"/>
                <w:sz w:val="24"/>
                <w:szCs w:val="24"/>
              </w:rPr>
              <w:t xml:space="preserve">一对一沟通 </w:t>
            </w:r>
          </w:p>
          <w:p w14:paraId="4B8D03EB" w14:textId="77777777" w:rsidR="00A54DA5" w:rsidRPr="00843759" w:rsidRDefault="00BE6EB3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E0201F" w:rsidRPr="00843759">
              <w:rPr>
                <w:rFonts w:ascii="宋体" w:eastAsia="宋体" w:hAnsi="宋体" w:cs="宋体"/>
                <w:sz w:val="24"/>
                <w:szCs w:val="24"/>
              </w:rPr>
              <w:t xml:space="preserve">其他  </w:t>
            </w:r>
          </w:p>
        </w:tc>
      </w:tr>
      <w:tr w:rsidR="00A54DA5" w:rsidRPr="00843759" w14:paraId="4477EA4A" w14:textId="77777777" w:rsidTr="002704C2">
        <w:trPr>
          <w:trHeight w:val="202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099A" w14:textId="77777777" w:rsidR="00A54DA5" w:rsidRPr="00843759" w:rsidRDefault="00E0201F" w:rsidP="00843759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3216"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  <w:t>参与单位</w:t>
            </w:r>
            <w:r w:rsidR="00595828" w:rsidRPr="008A3216"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及人员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736" w14:textId="0232D1C6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交银施罗德基金：刘鹏，管浩维，王艺伟，陈骏</w:t>
            </w:r>
          </w:p>
          <w:p w14:paraId="23E77F15" w14:textId="50180075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华宝基金：夏林锋，陈龙</w:t>
            </w:r>
          </w:p>
          <w:p w14:paraId="030301A7" w14:textId="72A642A9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华安基金：王旭冉，孔涛</w:t>
            </w:r>
            <w:r w:rsidRPr="007F6F7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F6F71">
              <w:rPr>
                <w:rFonts w:ascii="宋体" w:eastAsia="宋体" w:hAnsi="宋体" w:hint="eastAsia"/>
                <w:sz w:val="24"/>
                <w:szCs w:val="24"/>
              </w:rPr>
              <w:t>，饶晓鹏，盛骅，舒灏，刘畅</w:t>
            </w:r>
            <w:proofErr w:type="gramStart"/>
            <w:r w:rsidRPr="007F6F71">
              <w:rPr>
                <w:rFonts w:ascii="宋体" w:eastAsia="宋体" w:hAnsi="宋体" w:hint="eastAsia"/>
                <w:sz w:val="24"/>
                <w:szCs w:val="24"/>
              </w:rPr>
              <w:t>畅</w:t>
            </w:r>
            <w:proofErr w:type="gramEnd"/>
          </w:p>
          <w:p w14:paraId="25631FEA" w14:textId="2AA5A3D3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F6F71">
              <w:rPr>
                <w:rFonts w:ascii="宋体" w:eastAsia="宋体" w:hAnsi="宋体" w:hint="eastAsia"/>
                <w:sz w:val="24"/>
                <w:szCs w:val="24"/>
              </w:rPr>
              <w:t>汇添富</w:t>
            </w:r>
            <w:proofErr w:type="gramEnd"/>
            <w:r w:rsidRPr="007F6F71">
              <w:rPr>
                <w:rFonts w:ascii="宋体" w:eastAsia="宋体" w:hAnsi="宋体" w:hint="eastAsia"/>
                <w:sz w:val="24"/>
                <w:szCs w:val="24"/>
              </w:rPr>
              <w:t>基金：赵剑，董超，陈威</w:t>
            </w:r>
          </w:p>
          <w:p w14:paraId="66CC08FB" w14:textId="6F585444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F6F71">
              <w:rPr>
                <w:rFonts w:ascii="宋体" w:eastAsia="宋体" w:hAnsi="宋体" w:hint="eastAsia"/>
                <w:sz w:val="24"/>
                <w:szCs w:val="24"/>
              </w:rPr>
              <w:t>中信保诚</w:t>
            </w:r>
            <w:proofErr w:type="gramEnd"/>
            <w:r w:rsidRPr="007F6F71">
              <w:rPr>
                <w:rFonts w:ascii="宋体" w:eastAsia="宋体" w:hAnsi="宋体" w:hint="eastAsia"/>
                <w:sz w:val="24"/>
                <w:szCs w:val="24"/>
              </w:rPr>
              <w:t>基金：孙</w:t>
            </w:r>
            <w:proofErr w:type="gramStart"/>
            <w:r w:rsidRPr="007F6F71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  <w:r w:rsidRPr="007F6F71">
              <w:rPr>
                <w:rFonts w:ascii="宋体" w:eastAsia="宋体" w:hAnsi="宋体" w:hint="eastAsia"/>
                <w:sz w:val="24"/>
                <w:szCs w:val="24"/>
              </w:rPr>
              <w:t>中，张弘</w:t>
            </w:r>
          </w:p>
          <w:p w14:paraId="3C818623" w14:textId="2F8A9784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华富基金：研究</w:t>
            </w:r>
            <w:proofErr w:type="gramStart"/>
            <w:r w:rsidRPr="007F6F71">
              <w:rPr>
                <w:rFonts w:ascii="宋体" w:eastAsia="宋体" w:hAnsi="宋体" w:hint="eastAsia"/>
                <w:sz w:val="24"/>
                <w:szCs w:val="24"/>
              </w:rPr>
              <w:t>总监陈</w:t>
            </w:r>
            <w:proofErr w:type="gramEnd"/>
            <w:r w:rsidRPr="007F6F71">
              <w:rPr>
                <w:rFonts w:ascii="宋体" w:eastAsia="宋体" w:hAnsi="宋体" w:hint="eastAsia"/>
                <w:sz w:val="24"/>
                <w:szCs w:val="24"/>
              </w:rPr>
              <w:t>派卿</w:t>
            </w:r>
          </w:p>
          <w:p w14:paraId="5003B758" w14:textId="24509FBB" w:rsidR="007F6F71" w:rsidRPr="007F6F71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西南证券：梁美美，倪正洋</w:t>
            </w:r>
          </w:p>
          <w:p w14:paraId="0162E93E" w14:textId="77777777" w:rsidR="006C7F0F" w:rsidRDefault="007F6F71" w:rsidP="007F6F71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6F71">
              <w:rPr>
                <w:rFonts w:ascii="宋体" w:eastAsia="宋体" w:hAnsi="宋体" w:hint="eastAsia"/>
                <w:sz w:val="24"/>
                <w:szCs w:val="24"/>
              </w:rPr>
              <w:t>东吴证券：陈显帆</w:t>
            </w:r>
          </w:p>
          <w:p w14:paraId="3414D683" w14:textId="3CCBFFC0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83172">
              <w:rPr>
                <w:rFonts w:ascii="宋体" w:eastAsia="宋体" w:hAnsi="宋体" w:hint="eastAsia"/>
                <w:sz w:val="24"/>
                <w:szCs w:val="24"/>
              </w:rPr>
              <w:t>浙商基金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柴明</w:t>
            </w:r>
          </w:p>
          <w:p w14:paraId="1E761DDC" w14:textId="5D825BBB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湘财基金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朱光灵</w:t>
            </w:r>
          </w:p>
          <w:p w14:paraId="3464323A" w14:textId="0641F39D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东方</w:t>
            </w:r>
            <w:r w:rsidR="002D4173">
              <w:rPr>
                <w:rFonts w:ascii="宋体" w:eastAsia="宋体" w:hAnsi="宋体" w:hint="eastAsia"/>
                <w:sz w:val="24"/>
                <w:szCs w:val="24"/>
              </w:rPr>
              <w:t>证券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自营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惠博闻</w:t>
            </w:r>
          </w:p>
          <w:p w14:paraId="02E7A27B" w14:textId="76B6D910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民生加银</w:t>
            </w:r>
            <w:r w:rsidR="002D4173">
              <w:rPr>
                <w:rFonts w:ascii="宋体" w:eastAsia="宋体" w:hAnsi="宋体" w:hint="eastAsia"/>
                <w:sz w:val="24"/>
                <w:szCs w:val="24"/>
              </w:rPr>
              <w:t>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金耀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李君海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柳</w:t>
            </w:r>
            <w:proofErr w:type="gramStart"/>
            <w:r w:rsidRPr="00283172"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 w:rsidRPr="00283172">
              <w:rPr>
                <w:rFonts w:ascii="宋体" w:eastAsia="宋体" w:hAnsi="宋体" w:hint="eastAsia"/>
                <w:sz w:val="24"/>
                <w:szCs w:val="24"/>
              </w:rPr>
              <w:t>庆</w:t>
            </w:r>
          </w:p>
          <w:p w14:paraId="46BFD144" w14:textId="2C008B79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83172">
              <w:rPr>
                <w:rFonts w:ascii="宋体" w:eastAsia="宋体" w:hAnsi="宋体" w:hint="eastAsia"/>
                <w:sz w:val="24"/>
                <w:szCs w:val="24"/>
              </w:rPr>
              <w:t>汇添富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基金：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陈威</w:t>
            </w:r>
          </w:p>
          <w:p w14:paraId="47CBE76F" w14:textId="53071F36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83172">
              <w:rPr>
                <w:rFonts w:ascii="宋体" w:eastAsia="宋体" w:hAnsi="宋体" w:hint="eastAsia"/>
                <w:sz w:val="24"/>
                <w:szCs w:val="24"/>
              </w:rPr>
              <w:t>九泰基金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洪江根</w:t>
            </w:r>
            <w:r w:rsidRPr="002831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747A5CF8" w14:textId="2BD0823A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泰康资产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段中</w:t>
            </w:r>
            <w:proofErr w:type="gramStart"/>
            <w:r w:rsidRPr="00283172">
              <w:rPr>
                <w:rFonts w:ascii="宋体" w:eastAsia="宋体" w:hAnsi="宋体" w:hint="eastAsia"/>
                <w:sz w:val="24"/>
                <w:szCs w:val="24"/>
              </w:rPr>
              <w:t>喆</w:t>
            </w:r>
            <w:proofErr w:type="gramEnd"/>
          </w:p>
          <w:p w14:paraId="154D9985" w14:textId="3D82995B" w:rsidR="00283172" w:rsidRPr="00283172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长江证券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倪蕤</w:t>
            </w:r>
          </w:p>
          <w:p w14:paraId="276ABA40" w14:textId="29616D16" w:rsidR="00283172" w:rsidRPr="000C06D7" w:rsidRDefault="00283172" w:rsidP="00283172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3172">
              <w:rPr>
                <w:rFonts w:ascii="宋体" w:eastAsia="宋体" w:hAnsi="宋体" w:hint="eastAsia"/>
                <w:sz w:val="24"/>
                <w:szCs w:val="24"/>
              </w:rPr>
              <w:t>混沌投资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83172">
              <w:rPr>
                <w:rFonts w:ascii="宋体" w:eastAsia="宋体" w:hAnsi="宋体" w:hint="eastAsia"/>
                <w:sz w:val="24"/>
                <w:szCs w:val="24"/>
              </w:rPr>
              <w:t>谢旭阳</w:t>
            </w:r>
          </w:p>
        </w:tc>
      </w:tr>
      <w:tr w:rsidR="00A54DA5" w:rsidRPr="00843759" w14:paraId="4B388FEF" w14:textId="77777777" w:rsidTr="002A3115">
        <w:trPr>
          <w:trHeight w:val="527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E5D6" w14:textId="77777777" w:rsidR="00A54DA5" w:rsidRPr="001E7630" w:rsidRDefault="001E7630" w:rsidP="001E7630">
            <w:pPr>
              <w:snapToGrid w:val="0"/>
              <w:spacing w:after="0" w:line="360" w:lineRule="auto"/>
              <w:ind w:firstLineChars="300" w:firstLine="72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0B1F" w14:textId="05107394" w:rsidR="00A54DA5" w:rsidRPr="00843759" w:rsidRDefault="00843759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43759">
              <w:rPr>
                <w:rFonts w:ascii="宋体" w:eastAsia="宋体" w:hAnsi="宋体"/>
                <w:sz w:val="24"/>
                <w:szCs w:val="24"/>
              </w:rPr>
              <w:t>0</w:t>
            </w:r>
            <w:r w:rsidR="00AE3476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84375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956BF8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956BF8">
              <w:rPr>
                <w:rFonts w:ascii="宋体" w:eastAsia="宋体" w:hAnsi="宋体" w:hint="eastAsia"/>
                <w:sz w:val="24"/>
                <w:szCs w:val="24"/>
              </w:rPr>
              <w:t>29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A54DA5" w:rsidRPr="00843759" w14:paraId="292C925E" w14:textId="77777777" w:rsidTr="009C480E">
        <w:trPr>
          <w:trHeight w:val="49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9E56" w14:textId="77777777" w:rsidR="00A54DA5" w:rsidRPr="00843759" w:rsidRDefault="00E0201F" w:rsidP="00843759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53344" w14:textId="4A0A49CE" w:rsidR="00A54DA5" w:rsidRPr="00843759" w:rsidRDefault="00595828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759">
              <w:rPr>
                <w:rFonts w:ascii="宋体" w:eastAsia="宋体" w:hAnsi="宋体" w:hint="eastAsia"/>
                <w:sz w:val="24"/>
                <w:szCs w:val="24"/>
              </w:rPr>
              <w:t>公司会议室</w:t>
            </w:r>
            <w:r w:rsidR="0026533B">
              <w:rPr>
                <w:rFonts w:ascii="宋体" w:eastAsia="宋体" w:hAnsi="宋体" w:hint="eastAsia"/>
                <w:sz w:val="24"/>
                <w:szCs w:val="24"/>
              </w:rPr>
              <w:t>及相关办公场所</w:t>
            </w:r>
          </w:p>
        </w:tc>
      </w:tr>
      <w:tr w:rsidR="00A54DA5" w:rsidRPr="00843759" w14:paraId="740F4F3C" w14:textId="77777777" w:rsidTr="001E7630">
        <w:trPr>
          <w:trHeight w:val="63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1BF" w14:textId="77777777" w:rsidR="00A54DA5" w:rsidRPr="00843759" w:rsidRDefault="00E0201F" w:rsidP="00843759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t>接待人员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1FECF" w14:textId="7EB2AFF3" w:rsidR="00AE3476" w:rsidRDefault="007323AE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财务总监、董事会秘书</w:t>
            </w:r>
            <w:r w:rsidR="00AE347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傅风华</w:t>
            </w:r>
          </w:p>
          <w:p w14:paraId="13991D8C" w14:textId="1EB64BB9" w:rsidR="00F14E77" w:rsidRPr="00843759" w:rsidRDefault="006B6CCA" w:rsidP="00843759">
            <w:pPr>
              <w:snapToGrid w:val="0"/>
              <w:spacing w:after="0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副总经理</w:t>
            </w:r>
            <w:r w:rsidRPr="00843759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7323AE">
              <w:rPr>
                <w:rFonts w:ascii="宋体" w:eastAsia="宋体" w:hAnsi="宋体" w:hint="eastAsia"/>
                <w:sz w:val="24"/>
                <w:szCs w:val="24"/>
              </w:rPr>
              <w:t>徐鹏</w:t>
            </w:r>
          </w:p>
        </w:tc>
      </w:tr>
      <w:tr w:rsidR="00595828" w:rsidRPr="00843759" w14:paraId="7EE07C16" w14:textId="77777777" w:rsidTr="009C480E">
        <w:trPr>
          <w:trHeight w:val="49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A6AA" w14:textId="77777777" w:rsidR="00595828" w:rsidRPr="00843759" w:rsidRDefault="00595828" w:rsidP="00843759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7099" w14:textId="77777777" w:rsidR="00E105E4" w:rsidRPr="008A3216" w:rsidRDefault="00E105E4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</w:pPr>
            <w:r w:rsidRPr="008A3216"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第一部分、介绍公司基本情况</w:t>
            </w:r>
          </w:p>
          <w:p w14:paraId="3DB150D5" w14:textId="77777777" w:rsidR="002D0456" w:rsidRDefault="00F14E77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杭可科技</w:t>
            </w:r>
            <w:proofErr w:type="gramEnd"/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始终致力于各类可充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电池，特别是</w:t>
            </w:r>
            <w:proofErr w:type="gramStart"/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锂</w:t>
            </w:r>
            <w:proofErr w:type="gramEnd"/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离子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电池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的后处理系统的设计、研发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生产与销售，目前在充放电机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内阻测试仪等后处理系统核心设备的研发、生产方面拥有核心技术和能力，并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  <w:proofErr w:type="gramStart"/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锂</w:t>
            </w:r>
            <w:proofErr w:type="gramEnd"/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离子电池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生产</w:t>
            </w:r>
            <w:r w:rsidRPr="00F14E77">
              <w:rPr>
                <w:rFonts w:ascii="宋体" w:eastAsia="宋体" w:hAnsi="宋体" w:cs="宋体" w:hint="eastAsia"/>
                <w:sz w:val="24"/>
                <w:szCs w:val="24"/>
              </w:rPr>
              <w:t>线后处理系统整体解决方案。</w:t>
            </w:r>
          </w:p>
          <w:p w14:paraId="5676DE82" w14:textId="77777777" w:rsidR="00E105E4" w:rsidRPr="00301D5F" w:rsidRDefault="00E105E4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01D5F"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第二部分、</w:t>
            </w:r>
            <w:r w:rsidR="00301D5F" w:rsidRPr="00301D5F">
              <w:rPr>
                <w:rFonts w:ascii="宋体" w:eastAsia="宋体" w:hAnsi="宋体" w:cs="宋体" w:hint="eastAsia"/>
                <w:b/>
                <w:sz w:val="24"/>
                <w:szCs w:val="24"/>
              </w:rPr>
              <w:t>提问回答</w:t>
            </w:r>
          </w:p>
          <w:p w14:paraId="294306FB" w14:textId="7D2848A3" w:rsidR="00864D27" w:rsidRPr="00864D27" w:rsidRDefault="00312BFB" w:rsidP="00864D27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１</w:t>
            </w:r>
            <w:r w:rsidR="00595828" w:rsidRPr="00312BFB"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9C480E">
              <w:t xml:space="preserve"> 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锂电池产业未来在新技术，新产业，新业态等发展情况如何</w:t>
            </w:r>
            <w:r w:rsidR="00864D27" w:rsidRPr="00864D27">
              <w:rPr>
                <w:rFonts w:ascii="宋体" w:eastAsia="宋体" w:hAnsi="宋体" w:cs="宋体" w:hint="eastAsia"/>
                <w:sz w:val="24"/>
                <w:szCs w:val="24"/>
              </w:rPr>
              <w:t>？</w:t>
            </w:r>
          </w:p>
          <w:p w14:paraId="1BB4B8D4" w14:textId="77777777" w:rsidR="00956BF8" w:rsidRPr="00956BF8" w:rsidRDefault="00864D27" w:rsidP="00956BF8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64D27">
              <w:rPr>
                <w:rFonts w:ascii="宋体" w:eastAsia="宋体" w:hAnsi="宋体" w:cs="宋体" w:hint="eastAsia"/>
                <w:sz w:val="24"/>
                <w:szCs w:val="24"/>
              </w:rPr>
              <w:t>Ａ：您好</w:t>
            </w:r>
            <w:r w:rsidR="0023201F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2019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年，国内外动力电池技术领域出现了多个创新性的变化，助推动力电池能量密度进一步提升和成本降低，体现了动力电池技术的发展趋势。</w:t>
            </w:r>
          </w:p>
          <w:p w14:paraId="7F23708F" w14:textId="77777777" w:rsidR="00956BF8" w:rsidRPr="00956BF8" w:rsidRDefault="00956BF8" w:rsidP="00956BF8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总体来看，动力电池技术发展主要体现在以下几个方面：一是电芯尺寸、模组结构和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PACK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设计优化；二是电池材料体系优化升级；三是物联网技术提升动力电池安全性；四是固态电池产业化加速。</w:t>
            </w:r>
          </w:p>
          <w:p w14:paraId="0DA20C19" w14:textId="77777777" w:rsidR="00956BF8" w:rsidRPr="00956BF8" w:rsidRDefault="00956BF8" w:rsidP="00283172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公开发布的具有代表性行业新技术包括：宁德时代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CTP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技术，能量密度较传统电池包将提升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10%-15%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，可达到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200Wh/kg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以上；远景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AESC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proofErr w:type="spellStart"/>
            <w:r w:rsidRPr="00956BF8">
              <w:rPr>
                <w:rFonts w:ascii="宋体" w:eastAsia="宋体" w:hAnsi="宋体" w:cs="宋体"/>
                <w:sz w:val="24"/>
                <w:szCs w:val="24"/>
              </w:rPr>
              <w:t>EnOS</w:t>
            </w:r>
            <w:proofErr w:type="spellEnd"/>
            <w:r w:rsidRPr="00956BF8">
              <w:rPr>
                <w:rFonts w:ascii="宋体" w:eastAsia="宋体" w:hAnsi="宋体" w:cs="宋体"/>
                <w:sz w:val="24"/>
                <w:szCs w:val="24"/>
              </w:rPr>
              <w:t>™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操作系统，赋能动力电池智能化；中国台湾固态电池企业</w:t>
            </w:r>
            <w:proofErr w:type="gramStart"/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辉能科技</w:t>
            </w:r>
            <w:proofErr w:type="gramEnd"/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的“朋友圈”不断扩大，加速推进其固态电池产业化；蜂巢能源推方形叠片工艺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+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四元及无</w:t>
            </w:r>
            <w:proofErr w:type="gramStart"/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钴材料</w:t>
            </w:r>
            <w:proofErr w:type="gramEnd"/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电池。</w:t>
            </w:r>
          </w:p>
          <w:p w14:paraId="0B6F984A" w14:textId="1CB6CF29" w:rsidR="00312BFB" w:rsidRPr="00312BFB" w:rsidRDefault="00956BF8" w:rsidP="00956BF8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在终端需求上升以及政策引导扶持等因素影响下，锂电池细分市场爆发出蓬勃的成长活力。其中，在船舶、轻型车、通讯后备电源、电子烟、电动工具、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ETC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TWS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48V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微混等细分市场正在进入技术变革期或规模需求上升期，驱动锂电池需求高速增长。</w:t>
            </w:r>
          </w:p>
          <w:p w14:paraId="5331FED6" w14:textId="77777777" w:rsidR="00864D27" w:rsidRDefault="00864D27" w:rsidP="00A74B63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0A3B2C" w14:textId="2B38EE60" w:rsidR="003A1A21" w:rsidRPr="003A1A21" w:rsidRDefault="00312BFB" w:rsidP="003A1A21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Ｑ２：</w:t>
            </w:r>
            <w:bookmarkStart w:id="0" w:name="_Toc12649517"/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锂电池产业应用发展趋势如何</w:t>
            </w:r>
            <w:r w:rsidR="003A1A21" w:rsidRPr="003A1A21">
              <w:rPr>
                <w:rFonts w:ascii="宋体" w:eastAsia="宋体" w:hAnsi="宋体" w:cs="宋体" w:hint="eastAsia"/>
                <w:sz w:val="24"/>
                <w:szCs w:val="24"/>
              </w:rPr>
              <w:t>？</w:t>
            </w:r>
            <w:bookmarkEnd w:id="0"/>
          </w:p>
          <w:p w14:paraId="494CC7A3" w14:textId="77777777" w:rsidR="00956BF8" w:rsidRPr="00956BF8" w:rsidRDefault="003A1A21" w:rsidP="00956BF8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4B63">
              <w:rPr>
                <w:rFonts w:ascii="宋体" w:eastAsia="宋体" w:hAnsi="宋体" w:cs="宋体" w:hint="eastAsia"/>
                <w:sz w:val="24"/>
                <w:szCs w:val="24"/>
              </w:rPr>
              <w:t>Ａ：</w:t>
            </w:r>
            <w:r w:rsidRPr="003A1A21">
              <w:rPr>
                <w:rFonts w:ascii="宋体" w:eastAsia="宋体" w:hAnsi="宋体" w:cs="宋体" w:hint="eastAsia"/>
                <w:sz w:val="24"/>
                <w:szCs w:val="24"/>
              </w:rPr>
              <w:t>您好，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从中国锂电池行业权威网站高工锂电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GGII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披露的预测数据来看，船舶在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2025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年的锂电池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需求超</w:t>
            </w:r>
            <w:proofErr w:type="gramEnd"/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35GWh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；通讯设备电源在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2022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年锂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电需求</w:t>
            </w:r>
            <w:proofErr w:type="gramEnd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将达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45GWh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2020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TWS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锂电池市场空间至少在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24-45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亿元。</w:t>
            </w:r>
          </w:p>
          <w:p w14:paraId="638CE23F" w14:textId="21938B3D" w:rsidR="00A2032F" w:rsidRPr="003A1A21" w:rsidRDefault="00956BF8" w:rsidP="00956BF8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56BF8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    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锂电池后处理系统将继续沿着提升性价比、提高安全性和降低成本三个主线发展，更好地满足锂电池制造商提高锂电池能量密度，安全性和制造成本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个核心竞争力。</w:t>
            </w:r>
          </w:p>
          <w:p w14:paraId="2ED06DDE" w14:textId="77777777" w:rsidR="00365953" w:rsidRPr="00312BFB" w:rsidRDefault="00365953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0D13B578" w14:textId="29B3B638" w:rsidR="00E87677" w:rsidRPr="00E87677" w:rsidRDefault="00312BFB" w:rsidP="00E87677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Ｑ</w:t>
            </w: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３</w:t>
            </w:r>
            <w:r w:rsidR="00595828" w:rsidRPr="00312BFB">
              <w:rPr>
                <w:rFonts w:ascii="宋体" w:eastAsia="宋体" w:hAnsi="宋体" w:cs="宋体"/>
                <w:sz w:val="24"/>
                <w:szCs w:val="24"/>
              </w:rPr>
              <w:t>:</w:t>
            </w:r>
            <w:r w:rsidR="00A74B63">
              <w:rPr>
                <w:rFonts w:hint="eastAsia"/>
              </w:rPr>
              <w:t xml:space="preserve"> </w:t>
            </w:r>
            <w:r w:rsidR="00C81363" w:rsidRPr="00C81363">
              <w:rPr>
                <w:rFonts w:ascii="宋体" w:eastAsia="宋体" w:hAnsi="宋体" w:cs="宋体" w:hint="eastAsia"/>
                <w:sz w:val="24"/>
                <w:szCs w:val="24"/>
              </w:rPr>
              <w:t>公司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主要业务和主要产品</w:t>
            </w:r>
            <w:r w:rsidR="00C81363" w:rsidRPr="00C81363">
              <w:rPr>
                <w:rFonts w:ascii="宋体" w:eastAsia="宋体" w:hAnsi="宋体" w:cs="宋体" w:hint="eastAsia"/>
                <w:sz w:val="24"/>
                <w:szCs w:val="24"/>
              </w:rPr>
              <w:t>有哪些？</w:t>
            </w:r>
          </w:p>
          <w:p w14:paraId="341D6AF8" w14:textId="415BC296" w:rsidR="00956BF8" w:rsidRPr="00956BF8" w:rsidRDefault="00E87677" w:rsidP="00956BF8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87677">
              <w:rPr>
                <w:rFonts w:ascii="宋体" w:eastAsia="宋体" w:hAnsi="宋体" w:cs="宋体" w:hint="eastAsia"/>
                <w:sz w:val="24"/>
                <w:szCs w:val="24"/>
              </w:rPr>
              <w:t>Ａ：</w:t>
            </w:r>
            <w:r w:rsidR="0023201F">
              <w:rPr>
                <w:rFonts w:ascii="宋体" w:eastAsia="宋体" w:hAnsi="宋体" w:cs="宋体" w:hint="eastAsia"/>
                <w:sz w:val="24"/>
                <w:szCs w:val="24"/>
              </w:rPr>
              <w:t>您好，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公司自成立以来，始终致力于各类可充电电池，特别是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锂</w:t>
            </w:r>
            <w:proofErr w:type="gramEnd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离子电池的后处理系统的设计、研发、生产与销售，目前在充放电机、内阻测试仪等后处理系统核心设备的研发、生产方面拥有核心技术和能力，并能提供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锂</w:t>
            </w:r>
            <w:proofErr w:type="gramEnd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离子电池生产线后处理系统整体解决方案。后处理工序，是锂离子电池生产的必备工序，经过后处理，锂离子电池才能达到可使用状态，并对制造一致性高、稳定性好、性能优异的锂电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proofErr w:type="gramEnd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芯及电池组起到至关重要的作用。公司依托专业技术、精细化管理和贴身服务，为韩国三星、韩国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LG</w:t>
            </w:r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、日本索尼（现为日本村田）、宁德新能源、比亚迪、国轩高科、天津力神等国内外知名</w:t>
            </w:r>
            <w:proofErr w:type="gramStart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锂</w:t>
            </w:r>
            <w:proofErr w:type="gramEnd"/>
            <w:r w:rsidR="00956BF8" w:rsidRPr="00956BF8">
              <w:rPr>
                <w:rFonts w:ascii="宋体" w:eastAsia="宋体" w:hAnsi="宋体" w:cs="宋体" w:hint="eastAsia"/>
                <w:sz w:val="24"/>
                <w:szCs w:val="24"/>
              </w:rPr>
              <w:t>离子电池制造商配套供应各类锂离子电池生产线后处理系统设备。</w:t>
            </w:r>
          </w:p>
          <w:p w14:paraId="48256B93" w14:textId="1E1ED598" w:rsidR="00A2032F" w:rsidRDefault="00956BF8" w:rsidP="00956BF8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公司主要产品为充放电设备和内阻测试仪等其他设备，其中充放电设备分为圆柱电池充放电设备、软包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聚合物电池充放电设备（包括常规软包</w:t>
            </w:r>
            <w:r w:rsidRPr="00956BF8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956BF8">
              <w:rPr>
                <w:rFonts w:ascii="宋体" w:eastAsia="宋体" w:hAnsi="宋体" w:cs="宋体" w:hint="eastAsia"/>
                <w:sz w:val="24"/>
                <w:szCs w:val="24"/>
              </w:rPr>
              <w:t>聚合物电池充放电设备和高温加压充放电设备）、方形电池充放电设备。</w:t>
            </w:r>
          </w:p>
          <w:p w14:paraId="5E9CBBF8" w14:textId="77777777" w:rsidR="00E87677" w:rsidRPr="00312BFB" w:rsidRDefault="00E87677" w:rsidP="00E87677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E40391" w14:textId="40CDC688" w:rsidR="00755C2A" w:rsidRDefault="00AD5AEE" w:rsidP="00A2032F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Ｑ４：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公司2019年研发投入及专利申请情况如何</w:t>
            </w:r>
            <w:r w:rsidR="00755C2A" w:rsidRPr="00755C2A">
              <w:rPr>
                <w:rFonts w:ascii="宋体" w:eastAsia="宋体" w:hAnsi="宋体" w:cs="宋体"/>
                <w:sz w:val="24"/>
                <w:szCs w:val="24"/>
              </w:rPr>
              <w:t>?</w:t>
            </w:r>
          </w:p>
          <w:p w14:paraId="6F69AFC8" w14:textId="14D67988" w:rsidR="00755C2A" w:rsidRDefault="00755C2A" w:rsidP="00A2032F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4B63">
              <w:rPr>
                <w:rFonts w:ascii="宋体" w:eastAsia="宋体" w:hAnsi="宋体" w:cs="宋体" w:hint="eastAsia"/>
                <w:sz w:val="24"/>
                <w:szCs w:val="24"/>
              </w:rPr>
              <w:t>Ａ：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您好，公司2019年度共投入研发费用</w:t>
            </w:r>
            <w:r w:rsidR="00956BF8" w:rsidRPr="00956BF8">
              <w:rPr>
                <w:rFonts w:ascii="宋体" w:eastAsia="宋体" w:hAnsi="宋体" w:cs="宋体"/>
                <w:sz w:val="24"/>
                <w:szCs w:val="24"/>
              </w:rPr>
              <w:t>74,495,277.90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元，</w:t>
            </w:r>
            <w:r w:rsidR="00283172">
              <w:rPr>
                <w:rFonts w:ascii="宋体" w:eastAsia="宋体" w:hAnsi="宋体" w:cs="宋体" w:hint="eastAsia"/>
                <w:sz w:val="24"/>
                <w:szCs w:val="24"/>
              </w:rPr>
              <w:t>占</w:t>
            </w:r>
            <w:r w:rsidR="00956BF8">
              <w:rPr>
                <w:rFonts w:ascii="宋体" w:eastAsia="宋体" w:hAnsi="宋体" w:cs="宋体" w:hint="eastAsia"/>
                <w:sz w:val="24"/>
                <w:szCs w:val="24"/>
              </w:rPr>
              <w:t>营业收入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的5.67%，研发人员344人，占公司总人数的21.35%。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 xml:space="preserve">2019 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年度，公司新申请境内发明专利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 xml:space="preserve"> 49 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项，获得境内实用新型专利批准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 xml:space="preserve"> 32 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项；通过专利合作协定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>(PCT)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途径正在申请的专利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项，获得美国发明专利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 xml:space="preserve"> 1 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项；新申请并获得认证的软件著作权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 xml:space="preserve"> 2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项。</w:t>
            </w:r>
          </w:p>
          <w:p w14:paraId="44899141" w14:textId="77777777" w:rsidR="00755C2A" w:rsidRPr="00755C2A" w:rsidRDefault="00755C2A" w:rsidP="00A2032F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963F5B" w14:textId="69DD2A3C" w:rsidR="00E87677" w:rsidRDefault="00312BFB" w:rsidP="00A2032F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Ｑ</w:t>
            </w:r>
            <w:r w:rsidR="008E6FF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C81363" w:rsidRPr="00C81363">
              <w:rPr>
                <w:rFonts w:ascii="宋体" w:eastAsia="宋体" w:hAnsi="宋体" w:cs="宋体" w:hint="eastAsia"/>
                <w:sz w:val="24"/>
                <w:szCs w:val="24"/>
              </w:rPr>
              <w:t>公司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研发机制和技术创新机制优势体现在哪些方面</w:t>
            </w:r>
            <w:r w:rsidR="00C81363" w:rsidRPr="00C81363">
              <w:rPr>
                <w:rFonts w:ascii="宋体" w:eastAsia="宋体" w:hAnsi="宋体" w:cs="宋体" w:hint="eastAsia"/>
                <w:sz w:val="24"/>
                <w:szCs w:val="24"/>
              </w:rPr>
              <w:t>？</w:t>
            </w:r>
          </w:p>
          <w:p w14:paraId="5B09709B" w14:textId="5647A5C4" w:rsidR="009C480E" w:rsidRDefault="00A2032F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4B6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Ａ：</w:t>
            </w:r>
            <w:r w:rsidR="00C81363" w:rsidRPr="00C81363">
              <w:rPr>
                <w:rFonts w:ascii="宋体" w:eastAsia="宋体" w:hAnsi="宋体" w:cs="宋体" w:hint="eastAsia"/>
                <w:sz w:val="24"/>
                <w:szCs w:val="24"/>
              </w:rPr>
              <w:t>您好，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公司的现有研发体系具备持续创新能力，具备技术持续创新的机制。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其优势主要体现在四个方面：①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精准把握市场需求——产品按需开发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各研究所的研发重心都有具体的产品方向和面向的客户群体，因此在项目接洽的初期研究所就开始介入谈判，直接了解客户需求和设想，来准确把握具体项目的细分特点和需求，在满足客户需求的基础上，结合公司产品线的特点做出最佳解决方案。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引领市场潮流——标准化和通用化设计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研究所通过归纳、整理和分析各个项目的情况，得到具有诸多共性特征的信息和未来的技术发展方向，再结合产品使用信息反馈，以及长期的技术积累和对未来区间段的需求判断，不断进行产品的标准化和通用化设计，最终形成一个包含有大量标准部件又能灵活定制的设计系统，既符合大规模生产制造的要求，又能实现成本控制和缩短交付周期。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大客户优先战略——占据技术最前沿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公司一直奉行大客户优先战略，与国际一流的电池制造商（韩国三星、韩国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>LG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、日本索尼（现为日本村田）、宁德新能源（日本</w:t>
            </w:r>
            <w:r w:rsidR="003F27F2" w:rsidRPr="003F27F2">
              <w:rPr>
                <w:rFonts w:ascii="宋体" w:eastAsia="宋体" w:hAnsi="宋体" w:cs="宋体"/>
                <w:sz w:val="24"/>
                <w:szCs w:val="24"/>
              </w:rPr>
              <w:t>TDK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控制）等）建立紧密的合作关系。这些国际一流的电池制造商，</w:t>
            </w:r>
            <w:proofErr w:type="gramStart"/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引领着锂</w:t>
            </w:r>
            <w:proofErr w:type="gramEnd"/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离子电池生产技术的最高水平，为这些公司进行设备配套，促进了公司业务水平的提升，使公司始终站在技术发展的前沿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。④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内部激励——目标管理</w:t>
            </w:r>
            <w:r w:rsidR="003F27F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3F27F2" w:rsidRPr="003F27F2">
              <w:rPr>
                <w:rFonts w:ascii="宋体" w:eastAsia="宋体" w:hAnsi="宋体" w:cs="宋体" w:hint="eastAsia"/>
                <w:sz w:val="24"/>
                <w:szCs w:val="24"/>
              </w:rPr>
              <w:t>每年年初，公司与每个研究所确定业绩目标，签订《承包合同书》，其中对产品的销售业绩，技术进步，团队建设等内容设定了底线目标和奖励目标。每个研究所进行独立的业绩核算，对研究所的创新热情起到了有效的激励作用。</w:t>
            </w:r>
          </w:p>
          <w:p w14:paraId="1431CF8A" w14:textId="6546AEF1" w:rsidR="00C81363" w:rsidRDefault="00C81363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6AC39AE" w14:textId="6D59A21E" w:rsidR="003F27F2" w:rsidRDefault="003F27F2" w:rsidP="003F27F2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公司今年一季度</w:t>
            </w:r>
            <w:r w:rsidR="007F6F71">
              <w:rPr>
                <w:rFonts w:ascii="宋体" w:eastAsia="宋体" w:hAnsi="宋体" w:cs="宋体" w:hint="eastAsia"/>
                <w:sz w:val="24"/>
                <w:szCs w:val="24"/>
              </w:rPr>
              <w:t>研发投入占营业收入较去年同期增长的原因</w:t>
            </w:r>
            <w:r w:rsidRPr="00755C2A">
              <w:rPr>
                <w:rFonts w:ascii="宋体" w:eastAsia="宋体" w:hAnsi="宋体" w:cs="宋体"/>
                <w:sz w:val="24"/>
                <w:szCs w:val="24"/>
              </w:rPr>
              <w:t>?</w:t>
            </w:r>
          </w:p>
          <w:p w14:paraId="63B2351B" w14:textId="64D1018D" w:rsidR="003F27F2" w:rsidRDefault="003F27F2" w:rsidP="003F27F2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4B63">
              <w:rPr>
                <w:rFonts w:ascii="宋体" w:eastAsia="宋体" w:hAnsi="宋体" w:cs="宋体" w:hint="eastAsia"/>
                <w:sz w:val="24"/>
                <w:szCs w:val="24"/>
              </w:rPr>
              <w:t>Ａ：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您好，</w:t>
            </w:r>
            <w:r w:rsidR="007F6F71">
              <w:rPr>
                <w:rFonts w:ascii="宋体" w:eastAsia="宋体" w:hAnsi="宋体" w:cs="宋体" w:hint="eastAsia"/>
                <w:sz w:val="24"/>
                <w:szCs w:val="24"/>
              </w:rPr>
              <w:t>一季度研发费用较去年同期增长62.26%，主要系公司加大研发投入所致。</w:t>
            </w:r>
          </w:p>
          <w:p w14:paraId="6F42EBFC" w14:textId="77777777" w:rsidR="007F6F71" w:rsidRDefault="007F6F71" w:rsidP="003F27F2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F3A3D1" w14:textId="77777777" w:rsidR="002D0456" w:rsidRPr="00C81363" w:rsidRDefault="00312BFB" w:rsidP="00674A2B">
            <w:pPr>
              <w:snapToGrid w:val="0"/>
              <w:spacing w:after="0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接待过程中，公司与投资者进行了充分的交流与沟通，并严格按照公司《</w:t>
            </w:r>
            <w:r w:rsidR="00674A2B">
              <w:rPr>
                <w:rFonts w:ascii="宋体" w:eastAsia="宋体" w:hAnsi="宋体" w:cs="宋体" w:hint="eastAsia"/>
                <w:sz w:val="24"/>
                <w:szCs w:val="24"/>
              </w:rPr>
              <w:t>媒体采访和投资者调研接待办法</w:t>
            </w:r>
            <w:r w:rsidRPr="00312BFB">
              <w:rPr>
                <w:rFonts w:ascii="宋体" w:eastAsia="宋体" w:hAnsi="宋体" w:cs="宋体" w:hint="eastAsia"/>
                <w:sz w:val="24"/>
                <w:szCs w:val="24"/>
              </w:rPr>
              <w:t>》等规定，保证信息披露的真实、准确、完整、及时、公平。没有出现未公开重大信息泄露等情况，同时要求签署调研《承诺书》。</w:t>
            </w:r>
          </w:p>
        </w:tc>
      </w:tr>
      <w:tr w:rsidR="00595828" w:rsidRPr="00843759" w14:paraId="10062DF7" w14:textId="77777777" w:rsidTr="009C480E">
        <w:trPr>
          <w:trHeight w:val="49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5F2B" w14:textId="77777777" w:rsidR="00595828" w:rsidRPr="00843759" w:rsidRDefault="00595828" w:rsidP="00843759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09BCF" w14:textId="77777777" w:rsidR="00595828" w:rsidRPr="00843759" w:rsidRDefault="00595828" w:rsidP="00843759">
            <w:pPr>
              <w:snapToGrid w:val="0"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sz w:val="24"/>
                <w:szCs w:val="24"/>
              </w:rPr>
              <w:t>无</w:t>
            </w:r>
          </w:p>
        </w:tc>
      </w:tr>
      <w:tr w:rsidR="00595828" w:rsidRPr="00843759" w14:paraId="6135A197" w14:textId="77777777" w:rsidTr="009C480E">
        <w:trPr>
          <w:trHeight w:val="49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276F" w14:textId="77777777" w:rsidR="00595828" w:rsidRPr="00843759" w:rsidRDefault="00595828" w:rsidP="00843759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43759">
              <w:rPr>
                <w:rFonts w:ascii="宋体" w:eastAsia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BAAD6" w14:textId="0A72D841" w:rsidR="00595828" w:rsidRPr="00843759" w:rsidRDefault="007F6F71" w:rsidP="00843759">
            <w:pPr>
              <w:snapToGrid w:val="0"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84375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43759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84375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5月29日</w:t>
            </w:r>
          </w:p>
        </w:tc>
      </w:tr>
    </w:tbl>
    <w:p w14:paraId="6185137E" w14:textId="77777777" w:rsidR="00595828" w:rsidRPr="00595828" w:rsidRDefault="00595828">
      <w:pPr>
        <w:spacing w:after="0"/>
        <w:jc w:val="both"/>
        <w:rPr>
          <w:rFonts w:eastAsiaTheme="minorEastAsia"/>
        </w:rPr>
      </w:pPr>
    </w:p>
    <w:sectPr w:rsidR="00595828" w:rsidRPr="00595828">
      <w:pgSz w:w="11906" w:h="16838"/>
      <w:pgMar w:top="1445" w:right="1796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B0E24" w14:textId="77777777" w:rsidR="009D29E1" w:rsidRDefault="009D29E1" w:rsidP="00595828">
      <w:pPr>
        <w:spacing w:after="0" w:line="240" w:lineRule="auto"/>
      </w:pPr>
      <w:r>
        <w:separator/>
      </w:r>
    </w:p>
  </w:endnote>
  <w:endnote w:type="continuationSeparator" w:id="0">
    <w:p w14:paraId="1EE669F2" w14:textId="77777777" w:rsidR="009D29E1" w:rsidRDefault="009D29E1" w:rsidP="0059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DB99" w14:textId="77777777" w:rsidR="009D29E1" w:rsidRDefault="009D29E1" w:rsidP="00595828">
      <w:pPr>
        <w:spacing w:after="0" w:line="240" w:lineRule="auto"/>
      </w:pPr>
      <w:r>
        <w:separator/>
      </w:r>
    </w:p>
  </w:footnote>
  <w:footnote w:type="continuationSeparator" w:id="0">
    <w:p w14:paraId="56B2BD5A" w14:textId="77777777" w:rsidR="009D29E1" w:rsidRDefault="009D29E1" w:rsidP="0059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119B9"/>
    <w:multiLevelType w:val="multilevel"/>
    <w:tmpl w:val="1A6119B9"/>
    <w:lvl w:ilvl="0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4"/>
      </w:rPr>
    </w:lvl>
    <w:lvl w:ilvl="1">
      <w:start w:val="100"/>
      <w:numFmt w:val="decimal"/>
      <w:lvlText w:val="%2．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rFonts w:eastAsia="黑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A5"/>
    <w:rsid w:val="00024CEE"/>
    <w:rsid w:val="00030199"/>
    <w:rsid w:val="0004202C"/>
    <w:rsid w:val="000453C6"/>
    <w:rsid w:val="000668A8"/>
    <w:rsid w:val="000876CF"/>
    <w:rsid w:val="000C06D7"/>
    <w:rsid w:val="001150FA"/>
    <w:rsid w:val="00157EE6"/>
    <w:rsid w:val="001817E4"/>
    <w:rsid w:val="00190ECB"/>
    <w:rsid w:val="001C37A6"/>
    <w:rsid w:val="001E625A"/>
    <w:rsid w:val="001E7630"/>
    <w:rsid w:val="0023201F"/>
    <w:rsid w:val="0026533B"/>
    <w:rsid w:val="002704C2"/>
    <w:rsid w:val="00283172"/>
    <w:rsid w:val="002A3115"/>
    <w:rsid w:val="002D0456"/>
    <w:rsid w:val="002D4173"/>
    <w:rsid w:val="00301D5F"/>
    <w:rsid w:val="00312BFB"/>
    <w:rsid w:val="00325820"/>
    <w:rsid w:val="00365953"/>
    <w:rsid w:val="0038677B"/>
    <w:rsid w:val="003A1A21"/>
    <w:rsid w:val="003B3CBA"/>
    <w:rsid w:val="003F27F2"/>
    <w:rsid w:val="00410E01"/>
    <w:rsid w:val="00437CCB"/>
    <w:rsid w:val="00451658"/>
    <w:rsid w:val="0049465C"/>
    <w:rsid w:val="004C1FD6"/>
    <w:rsid w:val="004D224A"/>
    <w:rsid w:val="004F7FB6"/>
    <w:rsid w:val="00506021"/>
    <w:rsid w:val="00582743"/>
    <w:rsid w:val="005859AA"/>
    <w:rsid w:val="0059299D"/>
    <w:rsid w:val="00595828"/>
    <w:rsid w:val="005A2882"/>
    <w:rsid w:val="005A2966"/>
    <w:rsid w:val="005C7492"/>
    <w:rsid w:val="005E72D0"/>
    <w:rsid w:val="006014DF"/>
    <w:rsid w:val="00670353"/>
    <w:rsid w:val="00674A2B"/>
    <w:rsid w:val="006B6CCA"/>
    <w:rsid w:val="006C7F0F"/>
    <w:rsid w:val="00706E8A"/>
    <w:rsid w:val="00713FCD"/>
    <w:rsid w:val="007323AE"/>
    <w:rsid w:val="00734DFA"/>
    <w:rsid w:val="00755C2A"/>
    <w:rsid w:val="00766FE7"/>
    <w:rsid w:val="0077521E"/>
    <w:rsid w:val="007B27D7"/>
    <w:rsid w:val="007C0333"/>
    <w:rsid w:val="007C3603"/>
    <w:rsid w:val="007D124A"/>
    <w:rsid w:val="007F6F71"/>
    <w:rsid w:val="00830857"/>
    <w:rsid w:val="00843759"/>
    <w:rsid w:val="00864D27"/>
    <w:rsid w:val="00866DE4"/>
    <w:rsid w:val="00892B75"/>
    <w:rsid w:val="008A3216"/>
    <w:rsid w:val="008A42A4"/>
    <w:rsid w:val="008E6FFF"/>
    <w:rsid w:val="008F6D9F"/>
    <w:rsid w:val="00923755"/>
    <w:rsid w:val="00924238"/>
    <w:rsid w:val="0093056E"/>
    <w:rsid w:val="00956BF8"/>
    <w:rsid w:val="00991BB8"/>
    <w:rsid w:val="009C480E"/>
    <w:rsid w:val="009D29E1"/>
    <w:rsid w:val="009E6D3B"/>
    <w:rsid w:val="009F6973"/>
    <w:rsid w:val="00A2032F"/>
    <w:rsid w:val="00A54DA5"/>
    <w:rsid w:val="00A74B63"/>
    <w:rsid w:val="00A93DD2"/>
    <w:rsid w:val="00AD2185"/>
    <w:rsid w:val="00AD5AEE"/>
    <w:rsid w:val="00AE3476"/>
    <w:rsid w:val="00AE73A6"/>
    <w:rsid w:val="00B22BF6"/>
    <w:rsid w:val="00B30DDA"/>
    <w:rsid w:val="00B65D83"/>
    <w:rsid w:val="00B71C85"/>
    <w:rsid w:val="00BC62ED"/>
    <w:rsid w:val="00BE6EB3"/>
    <w:rsid w:val="00C065C4"/>
    <w:rsid w:val="00C20173"/>
    <w:rsid w:val="00C21988"/>
    <w:rsid w:val="00C47EC7"/>
    <w:rsid w:val="00C67057"/>
    <w:rsid w:val="00C81363"/>
    <w:rsid w:val="00C832E6"/>
    <w:rsid w:val="00CA660D"/>
    <w:rsid w:val="00CB33D1"/>
    <w:rsid w:val="00CD5112"/>
    <w:rsid w:val="00CE7104"/>
    <w:rsid w:val="00D502CE"/>
    <w:rsid w:val="00DE22E2"/>
    <w:rsid w:val="00DE720F"/>
    <w:rsid w:val="00E0201F"/>
    <w:rsid w:val="00E105E4"/>
    <w:rsid w:val="00E87677"/>
    <w:rsid w:val="00EA6593"/>
    <w:rsid w:val="00EB04DB"/>
    <w:rsid w:val="00F13A00"/>
    <w:rsid w:val="00F14E77"/>
    <w:rsid w:val="00F4180A"/>
    <w:rsid w:val="00F73601"/>
    <w:rsid w:val="00FB7D05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2EA7"/>
  <w15:docId w15:val="{46D5E728-EE9A-415D-BAFE-4E5C2C2C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3">
    <w:name w:val="heading 3"/>
    <w:basedOn w:val="a"/>
    <w:next w:val="a"/>
    <w:link w:val="30"/>
    <w:uiPriority w:val="9"/>
    <w:qFormat/>
    <w:rsid w:val="00A2032F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82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8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828"/>
    <w:rPr>
      <w:rFonts w:ascii="Calibri" w:eastAsia="Calibri" w:hAnsi="Calibri" w:cs="Calibri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2032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16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2861">
                                  <w:blockQuote w:val="1"/>
                                  <w:marLeft w:val="1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333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2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3557">
                                                          <w:blockQuote w:val="1"/>
                                                          <w:marLeft w:val="12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381915">
                                                                  <w:blockQuote w:val="1"/>
                                                                  <w:marLeft w:val="120"/>
                                                                  <w:marRight w:val="7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420</Words>
  <Characters>2395</Characters>
  <Application>Microsoft Office Word</Application>
  <DocSecurity>0</DocSecurity>
  <Lines>19</Lines>
  <Paragraphs>5</Paragraphs>
  <ScaleCrop>false</ScaleCrop>
  <Company>QN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HYC_财务部_任艺男</dc:creator>
  <cp:keywords/>
  <cp:lastModifiedBy>. Dc</cp:lastModifiedBy>
  <cp:revision>2</cp:revision>
  <cp:lastPrinted>2019-11-05T02:06:00Z</cp:lastPrinted>
  <dcterms:created xsi:type="dcterms:W3CDTF">2020-06-01T07:13:00Z</dcterms:created>
  <dcterms:modified xsi:type="dcterms:W3CDTF">2020-06-01T07:13:00Z</dcterms:modified>
</cp:coreProperties>
</file>